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1E78" w14:textId="4B2453BD" w:rsidR="00120D28" w:rsidRPr="00D861B8" w:rsidRDefault="00A16C64" w:rsidP="001A3ED7">
      <w:pPr>
        <w:spacing w:line="276" w:lineRule="auto"/>
        <w:contextualSpacing/>
        <w:rPr>
          <w:rFonts w:ascii="Tenorite" w:hAnsi="Tenorite"/>
          <w:b/>
          <w:bCs/>
          <w:sz w:val="32"/>
          <w:szCs w:val="32"/>
        </w:rPr>
      </w:pPr>
      <w:r w:rsidRPr="00D861B8">
        <w:rPr>
          <w:rFonts w:ascii="Tenorite" w:hAnsi="Tenorite"/>
          <w:b/>
          <w:bCs/>
          <w:sz w:val="32"/>
          <w:szCs w:val="32"/>
        </w:rPr>
        <w:t xml:space="preserve">Ancrum </w:t>
      </w:r>
      <w:r w:rsidR="00685B40" w:rsidRPr="00D861B8">
        <w:rPr>
          <w:rFonts w:ascii="Tenorite" w:hAnsi="Tenorite"/>
          <w:b/>
          <w:bCs/>
          <w:sz w:val="32"/>
          <w:szCs w:val="32"/>
        </w:rPr>
        <w:t>Development</w:t>
      </w:r>
    </w:p>
    <w:p w14:paraId="3B7903A5" w14:textId="79BA1F67" w:rsidR="00A16C64" w:rsidRPr="005D446E" w:rsidRDefault="00A16C64" w:rsidP="001A3ED7">
      <w:pPr>
        <w:spacing w:line="276" w:lineRule="auto"/>
        <w:contextualSpacing/>
        <w:rPr>
          <w:rFonts w:ascii="Tenorite" w:hAnsi="Tenorite"/>
          <w:sz w:val="32"/>
          <w:szCs w:val="32"/>
        </w:rPr>
      </w:pPr>
      <w:r w:rsidRPr="005D446E">
        <w:rPr>
          <w:rFonts w:ascii="Tenorite" w:hAnsi="Tenorite"/>
          <w:sz w:val="32"/>
          <w:szCs w:val="32"/>
        </w:rPr>
        <w:t>Planned Development District Guidelines</w:t>
      </w:r>
    </w:p>
    <w:p w14:paraId="4C366BC0" w14:textId="77777777" w:rsidR="00A16C64" w:rsidRDefault="00A16C64" w:rsidP="001A3ED7">
      <w:pPr>
        <w:spacing w:line="276" w:lineRule="auto"/>
        <w:contextualSpacing/>
        <w:rPr>
          <w:rFonts w:ascii="Tenorite" w:hAnsi="Tenorite"/>
        </w:rPr>
      </w:pPr>
    </w:p>
    <w:p w14:paraId="7E506723" w14:textId="77777777" w:rsidR="00A16C64" w:rsidRDefault="00A16C64" w:rsidP="001A3ED7">
      <w:pPr>
        <w:spacing w:line="276" w:lineRule="auto"/>
        <w:contextualSpacing/>
        <w:rPr>
          <w:rFonts w:ascii="Tenorite" w:hAnsi="Tenorite"/>
        </w:rPr>
      </w:pPr>
    </w:p>
    <w:p w14:paraId="45BA401D" w14:textId="77777777" w:rsidR="00A16C64" w:rsidRDefault="00A16C64" w:rsidP="001A3ED7">
      <w:pPr>
        <w:spacing w:line="276" w:lineRule="auto"/>
        <w:contextualSpacing/>
        <w:rPr>
          <w:rFonts w:ascii="Tenorite" w:hAnsi="Tenorite"/>
        </w:rPr>
      </w:pPr>
    </w:p>
    <w:p w14:paraId="079AAD6F" w14:textId="635007F1" w:rsidR="00A16C64" w:rsidRPr="0056512B" w:rsidRDefault="00CC4D8D" w:rsidP="001A3ED7">
      <w:pPr>
        <w:spacing w:line="276" w:lineRule="auto"/>
        <w:contextualSpacing/>
        <w:rPr>
          <w:rFonts w:ascii="Tenorite" w:hAnsi="Tenorite"/>
          <w:sz w:val="24"/>
          <w:szCs w:val="24"/>
        </w:rPr>
      </w:pPr>
      <w:r>
        <w:rPr>
          <w:rFonts w:ascii="Tenorite" w:hAnsi="Tenorite"/>
          <w:sz w:val="24"/>
          <w:szCs w:val="24"/>
        </w:rPr>
        <w:t>November 1</w:t>
      </w:r>
      <w:r w:rsidR="00623F08">
        <w:rPr>
          <w:rFonts w:ascii="Tenorite" w:hAnsi="Tenorite"/>
          <w:sz w:val="24"/>
          <w:szCs w:val="24"/>
        </w:rPr>
        <w:t>, 2023</w:t>
      </w:r>
    </w:p>
    <w:p w14:paraId="374A8EC8" w14:textId="77777777" w:rsidR="00A16C64" w:rsidRPr="0056512B" w:rsidRDefault="00A16C64" w:rsidP="001A3ED7">
      <w:pPr>
        <w:spacing w:line="276" w:lineRule="auto"/>
        <w:contextualSpacing/>
        <w:rPr>
          <w:rFonts w:ascii="Tenorite" w:hAnsi="Tenorite"/>
          <w:sz w:val="24"/>
          <w:szCs w:val="24"/>
        </w:rPr>
      </w:pPr>
    </w:p>
    <w:p w14:paraId="3A37F03D" w14:textId="77777777" w:rsidR="00A16C64" w:rsidRDefault="00A16C64" w:rsidP="001A3ED7">
      <w:pPr>
        <w:spacing w:line="276" w:lineRule="auto"/>
        <w:contextualSpacing/>
        <w:rPr>
          <w:rFonts w:ascii="Tenorite" w:hAnsi="Tenorite"/>
          <w:sz w:val="24"/>
          <w:szCs w:val="24"/>
        </w:rPr>
      </w:pPr>
    </w:p>
    <w:p w14:paraId="14A27D30" w14:textId="77777777" w:rsidR="007369BB" w:rsidRDefault="007369BB" w:rsidP="001A3ED7">
      <w:pPr>
        <w:spacing w:line="276" w:lineRule="auto"/>
        <w:contextualSpacing/>
        <w:rPr>
          <w:rFonts w:ascii="Tenorite" w:hAnsi="Tenorite"/>
          <w:sz w:val="24"/>
          <w:szCs w:val="24"/>
        </w:rPr>
      </w:pPr>
    </w:p>
    <w:p w14:paraId="511387B5" w14:textId="77777777" w:rsidR="007369BB" w:rsidRDefault="007369BB" w:rsidP="001A3ED7">
      <w:pPr>
        <w:spacing w:line="276" w:lineRule="auto"/>
        <w:contextualSpacing/>
        <w:rPr>
          <w:rFonts w:ascii="Tenorite" w:hAnsi="Tenorite"/>
          <w:sz w:val="24"/>
          <w:szCs w:val="24"/>
        </w:rPr>
      </w:pPr>
    </w:p>
    <w:p w14:paraId="337F6E50" w14:textId="77777777" w:rsidR="007369BB" w:rsidRDefault="007369BB" w:rsidP="001A3ED7">
      <w:pPr>
        <w:spacing w:line="276" w:lineRule="auto"/>
        <w:contextualSpacing/>
        <w:rPr>
          <w:rFonts w:ascii="Tenorite" w:hAnsi="Tenorite"/>
          <w:sz w:val="24"/>
          <w:szCs w:val="24"/>
        </w:rPr>
      </w:pPr>
    </w:p>
    <w:p w14:paraId="1169207C" w14:textId="77777777" w:rsidR="007369BB" w:rsidRDefault="007369BB" w:rsidP="001A3ED7">
      <w:pPr>
        <w:spacing w:line="276" w:lineRule="auto"/>
        <w:contextualSpacing/>
        <w:rPr>
          <w:rFonts w:ascii="Tenorite" w:hAnsi="Tenorite"/>
          <w:sz w:val="24"/>
          <w:szCs w:val="24"/>
        </w:rPr>
      </w:pPr>
    </w:p>
    <w:p w14:paraId="0AD583EF" w14:textId="77777777" w:rsidR="007369BB" w:rsidRDefault="007369BB" w:rsidP="001A3ED7">
      <w:pPr>
        <w:spacing w:line="276" w:lineRule="auto"/>
        <w:contextualSpacing/>
        <w:rPr>
          <w:rFonts w:ascii="Tenorite" w:hAnsi="Tenorite"/>
          <w:sz w:val="24"/>
          <w:szCs w:val="24"/>
        </w:rPr>
      </w:pPr>
    </w:p>
    <w:p w14:paraId="0D46E632" w14:textId="77777777" w:rsidR="007369BB" w:rsidRDefault="007369BB" w:rsidP="001A3ED7">
      <w:pPr>
        <w:spacing w:line="276" w:lineRule="auto"/>
        <w:contextualSpacing/>
        <w:rPr>
          <w:rFonts w:ascii="Tenorite" w:hAnsi="Tenorite"/>
          <w:sz w:val="24"/>
          <w:szCs w:val="24"/>
        </w:rPr>
      </w:pPr>
    </w:p>
    <w:p w14:paraId="4E7930EA" w14:textId="77777777" w:rsidR="007369BB" w:rsidRDefault="007369BB" w:rsidP="001A3ED7">
      <w:pPr>
        <w:spacing w:line="276" w:lineRule="auto"/>
        <w:contextualSpacing/>
        <w:rPr>
          <w:rFonts w:ascii="Tenorite" w:hAnsi="Tenorite"/>
          <w:sz w:val="24"/>
          <w:szCs w:val="24"/>
        </w:rPr>
      </w:pPr>
    </w:p>
    <w:p w14:paraId="7EFBFC16" w14:textId="77777777" w:rsidR="007369BB" w:rsidRDefault="007369BB" w:rsidP="001A3ED7">
      <w:pPr>
        <w:spacing w:line="276" w:lineRule="auto"/>
        <w:contextualSpacing/>
        <w:rPr>
          <w:rFonts w:ascii="Tenorite" w:hAnsi="Tenorite"/>
          <w:sz w:val="24"/>
          <w:szCs w:val="24"/>
        </w:rPr>
      </w:pPr>
    </w:p>
    <w:p w14:paraId="1A4F9D62" w14:textId="77777777" w:rsidR="007369BB" w:rsidRDefault="007369BB" w:rsidP="001A3ED7">
      <w:pPr>
        <w:spacing w:line="276" w:lineRule="auto"/>
        <w:contextualSpacing/>
        <w:rPr>
          <w:rFonts w:ascii="Tenorite" w:hAnsi="Tenorite"/>
          <w:sz w:val="24"/>
          <w:szCs w:val="24"/>
        </w:rPr>
      </w:pPr>
    </w:p>
    <w:p w14:paraId="1722ECD0" w14:textId="77777777" w:rsidR="007369BB" w:rsidRDefault="007369BB" w:rsidP="001A3ED7">
      <w:pPr>
        <w:spacing w:line="276" w:lineRule="auto"/>
        <w:contextualSpacing/>
        <w:rPr>
          <w:rFonts w:ascii="Tenorite" w:hAnsi="Tenorite"/>
          <w:sz w:val="24"/>
          <w:szCs w:val="24"/>
        </w:rPr>
      </w:pPr>
    </w:p>
    <w:p w14:paraId="03132811" w14:textId="77777777" w:rsidR="007369BB" w:rsidRDefault="007369BB" w:rsidP="001A3ED7">
      <w:pPr>
        <w:spacing w:line="276" w:lineRule="auto"/>
        <w:contextualSpacing/>
        <w:rPr>
          <w:rFonts w:ascii="Tenorite" w:hAnsi="Tenorite"/>
          <w:sz w:val="24"/>
          <w:szCs w:val="24"/>
        </w:rPr>
      </w:pPr>
    </w:p>
    <w:p w14:paraId="1C1A46A2" w14:textId="77777777" w:rsidR="007369BB" w:rsidRDefault="007369BB" w:rsidP="001A3ED7">
      <w:pPr>
        <w:spacing w:line="276" w:lineRule="auto"/>
        <w:contextualSpacing/>
        <w:rPr>
          <w:rFonts w:ascii="Tenorite" w:hAnsi="Tenorite"/>
          <w:sz w:val="24"/>
          <w:szCs w:val="24"/>
        </w:rPr>
      </w:pPr>
    </w:p>
    <w:p w14:paraId="29349F2D" w14:textId="77777777" w:rsidR="007369BB" w:rsidRDefault="007369BB" w:rsidP="001A3ED7">
      <w:pPr>
        <w:spacing w:line="276" w:lineRule="auto"/>
        <w:contextualSpacing/>
        <w:rPr>
          <w:rFonts w:ascii="Tenorite" w:hAnsi="Tenorite"/>
          <w:sz w:val="24"/>
          <w:szCs w:val="24"/>
        </w:rPr>
      </w:pPr>
    </w:p>
    <w:p w14:paraId="6903AA27" w14:textId="77777777" w:rsidR="007369BB" w:rsidRPr="0056512B" w:rsidRDefault="007369BB" w:rsidP="001A3ED7">
      <w:pPr>
        <w:spacing w:line="276" w:lineRule="auto"/>
        <w:contextualSpacing/>
        <w:rPr>
          <w:rFonts w:ascii="Tenorite" w:hAnsi="Tenorite"/>
          <w:sz w:val="24"/>
          <w:szCs w:val="24"/>
        </w:rPr>
      </w:pPr>
    </w:p>
    <w:p w14:paraId="4A7D011B" w14:textId="77777777" w:rsidR="00A16C64" w:rsidRPr="0056512B" w:rsidRDefault="00A16C64" w:rsidP="001A3ED7">
      <w:pPr>
        <w:spacing w:line="276" w:lineRule="auto"/>
        <w:contextualSpacing/>
        <w:rPr>
          <w:rFonts w:ascii="Tenorite" w:hAnsi="Tenorite"/>
          <w:sz w:val="24"/>
          <w:szCs w:val="24"/>
        </w:rPr>
      </w:pPr>
    </w:p>
    <w:p w14:paraId="10C6A844" w14:textId="77777777" w:rsidR="003866A6" w:rsidRPr="004000F6" w:rsidRDefault="003866A6" w:rsidP="001A3ED7">
      <w:pPr>
        <w:spacing w:line="276" w:lineRule="auto"/>
        <w:contextualSpacing/>
        <w:rPr>
          <w:rFonts w:ascii="Tenorite" w:hAnsi="Tenorite"/>
          <w:b/>
          <w:bCs/>
          <w:sz w:val="24"/>
          <w:szCs w:val="24"/>
        </w:rPr>
      </w:pPr>
      <w:r w:rsidRPr="004000F6">
        <w:rPr>
          <w:rFonts w:ascii="Tenorite" w:hAnsi="Tenorite"/>
          <w:b/>
          <w:bCs/>
          <w:sz w:val="24"/>
          <w:szCs w:val="24"/>
        </w:rPr>
        <w:t>Presented to:</w:t>
      </w:r>
    </w:p>
    <w:p w14:paraId="3031FCBD" w14:textId="4999D165" w:rsidR="003866A6" w:rsidRPr="0056512B" w:rsidRDefault="003866A6" w:rsidP="001A3ED7">
      <w:pPr>
        <w:spacing w:line="276" w:lineRule="auto"/>
        <w:contextualSpacing/>
        <w:rPr>
          <w:rFonts w:ascii="Tenorite" w:hAnsi="Tenorite"/>
          <w:sz w:val="24"/>
          <w:szCs w:val="24"/>
        </w:rPr>
      </w:pPr>
      <w:r w:rsidRPr="0056512B">
        <w:rPr>
          <w:rFonts w:ascii="Tenorite" w:hAnsi="Tenorite"/>
          <w:sz w:val="24"/>
          <w:szCs w:val="24"/>
        </w:rPr>
        <w:t xml:space="preserve">The City of </w:t>
      </w:r>
      <w:r w:rsidR="00D20C69">
        <w:rPr>
          <w:rFonts w:ascii="Tenorite" w:hAnsi="Tenorite"/>
          <w:sz w:val="24"/>
          <w:szCs w:val="24"/>
        </w:rPr>
        <w:t>Goose Creek</w:t>
      </w:r>
    </w:p>
    <w:p w14:paraId="08B9B5CE" w14:textId="77777777" w:rsidR="003866A6" w:rsidRPr="0056512B" w:rsidRDefault="003866A6" w:rsidP="001A3ED7">
      <w:pPr>
        <w:spacing w:line="276" w:lineRule="auto"/>
        <w:contextualSpacing/>
        <w:rPr>
          <w:rFonts w:ascii="Tenorite" w:hAnsi="Tenorite"/>
          <w:sz w:val="24"/>
          <w:szCs w:val="24"/>
        </w:rPr>
      </w:pPr>
    </w:p>
    <w:p w14:paraId="57805CD4" w14:textId="77777777" w:rsidR="003866A6" w:rsidRPr="0056512B" w:rsidRDefault="003866A6" w:rsidP="001A3ED7">
      <w:pPr>
        <w:spacing w:line="276" w:lineRule="auto"/>
        <w:contextualSpacing/>
        <w:rPr>
          <w:rFonts w:ascii="Tenorite" w:hAnsi="Tenorite"/>
          <w:sz w:val="24"/>
          <w:szCs w:val="24"/>
        </w:rPr>
      </w:pPr>
    </w:p>
    <w:p w14:paraId="7276054F" w14:textId="77777777" w:rsidR="003866A6" w:rsidRPr="00FC63A1" w:rsidRDefault="003866A6" w:rsidP="001A3ED7">
      <w:pPr>
        <w:spacing w:line="276" w:lineRule="auto"/>
        <w:contextualSpacing/>
        <w:rPr>
          <w:rFonts w:ascii="Tenorite" w:hAnsi="Tenorite"/>
          <w:b/>
          <w:bCs/>
          <w:sz w:val="24"/>
          <w:szCs w:val="24"/>
        </w:rPr>
      </w:pPr>
      <w:r w:rsidRPr="00FC63A1">
        <w:rPr>
          <w:rFonts w:ascii="Tenorite" w:hAnsi="Tenorite"/>
          <w:b/>
          <w:bCs/>
          <w:sz w:val="24"/>
          <w:szCs w:val="24"/>
        </w:rPr>
        <w:t>Prepared for:</w:t>
      </w:r>
    </w:p>
    <w:p w14:paraId="34B68ECD" w14:textId="77777777" w:rsidR="003866A6" w:rsidRPr="0056512B" w:rsidRDefault="003866A6" w:rsidP="001A3ED7">
      <w:pPr>
        <w:spacing w:line="276" w:lineRule="auto"/>
        <w:contextualSpacing/>
        <w:rPr>
          <w:rFonts w:ascii="Tenorite" w:hAnsi="Tenorite"/>
          <w:sz w:val="24"/>
          <w:szCs w:val="24"/>
        </w:rPr>
      </w:pPr>
      <w:r w:rsidRPr="0056512B">
        <w:rPr>
          <w:rFonts w:ascii="Tenorite" w:hAnsi="Tenorite"/>
          <w:sz w:val="24"/>
          <w:szCs w:val="24"/>
        </w:rPr>
        <w:t>Ancrum Propco, LLC</w:t>
      </w:r>
    </w:p>
    <w:p w14:paraId="0D685AE0" w14:textId="72D79EB4" w:rsidR="003866A6" w:rsidRDefault="002A4DD3" w:rsidP="001A3ED7">
      <w:pPr>
        <w:spacing w:line="276" w:lineRule="auto"/>
        <w:contextualSpacing/>
        <w:rPr>
          <w:rFonts w:ascii="Tenorite" w:hAnsi="Tenorite"/>
          <w:sz w:val="24"/>
          <w:szCs w:val="24"/>
        </w:rPr>
      </w:pPr>
      <w:r>
        <w:rPr>
          <w:rFonts w:ascii="Tenorite" w:hAnsi="Tenorite"/>
          <w:sz w:val="24"/>
          <w:szCs w:val="24"/>
        </w:rPr>
        <w:t>198 E Bay Street</w:t>
      </w:r>
    </w:p>
    <w:p w14:paraId="24FD570E" w14:textId="612CCAB8" w:rsidR="002A4DD3" w:rsidRPr="0056512B" w:rsidRDefault="002A4DD3" w:rsidP="001A3ED7">
      <w:pPr>
        <w:spacing w:line="276" w:lineRule="auto"/>
        <w:contextualSpacing/>
        <w:rPr>
          <w:rFonts w:ascii="Tenorite" w:hAnsi="Tenorite"/>
          <w:sz w:val="24"/>
          <w:szCs w:val="24"/>
        </w:rPr>
      </w:pPr>
      <w:r>
        <w:rPr>
          <w:rFonts w:ascii="Tenorite" w:hAnsi="Tenorite"/>
          <w:sz w:val="24"/>
          <w:szCs w:val="24"/>
        </w:rPr>
        <w:t>Charleston, SC 29401</w:t>
      </w:r>
    </w:p>
    <w:p w14:paraId="7773072F" w14:textId="77777777" w:rsidR="003866A6" w:rsidRPr="0056512B" w:rsidRDefault="003866A6" w:rsidP="001A3ED7">
      <w:pPr>
        <w:spacing w:line="276" w:lineRule="auto"/>
        <w:contextualSpacing/>
        <w:rPr>
          <w:rFonts w:ascii="Tenorite" w:hAnsi="Tenorite"/>
          <w:sz w:val="24"/>
          <w:szCs w:val="24"/>
        </w:rPr>
      </w:pPr>
    </w:p>
    <w:p w14:paraId="12E77EAD" w14:textId="77777777" w:rsidR="003866A6" w:rsidRPr="0056512B" w:rsidRDefault="003866A6" w:rsidP="001A3ED7">
      <w:pPr>
        <w:spacing w:line="276" w:lineRule="auto"/>
        <w:contextualSpacing/>
        <w:rPr>
          <w:rFonts w:ascii="Tenorite" w:hAnsi="Tenorite"/>
          <w:sz w:val="24"/>
          <w:szCs w:val="24"/>
        </w:rPr>
      </w:pPr>
    </w:p>
    <w:p w14:paraId="55F37C34" w14:textId="77777777" w:rsidR="003866A6" w:rsidRPr="00FC63A1" w:rsidRDefault="003866A6" w:rsidP="001A3ED7">
      <w:pPr>
        <w:spacing w:line="276" w:lineRule="auto"/>
        <w:contextualSpacing/>
        <w:rPr>
          <w:rFonts w:ascii="Tenorite" w:hAnsi="Tenorite"/>
          <w:b/>
          <w:bCs/>
          <w:sz w:val="24"/>
          <w:szCs w:val="24"/>
        </w:rPr>
      </w:pPr>
      <w:r w:rsidRPr="00FC63A1">
        <w:rPr>
          <w:rFonts w:ascii="Tenorite" w:hAnsi="Tenorite"/>
          <w:b/>
          <w:bCs/>
          <w:sz w:val="24"/>
          <w:szCs w:val="24"/>
        </w:rPr>
        <w:t>Prepared by:</w:t>
      </w:r>
    </w:p>
    <w:p w14:paraId="78F0AA0F" w14:textId="77777777" w:rsidR="003866A6" w:rsidRPr="0056512B" w:rsidRDefault="003866A6" w:rsidP="001A3ED7">
      <w:pPr>
        <w:spacing w:line="276" w:lineRule="auto"/>
        <w:contextualSpacing/>
        <w:rPr>
          <w:rFonts w:ascii="Tenorite" w:hAnsi="Tenorite"/>
          <w:sz w:val="24"/>
          <w:szCs w:val="24"/>
        </w:rPr>
      </w:pPr>
      <w:proofErr w:type="spellStart"/>
      <w:r w:rsidRPr="0056512B">
        <w:rPr>
          <w:rFonts w:ascii="Tenorite" w:hAnsi="Tenorite"/>
          <w:sz w:val="24"/>
          <w:szCs w:val="24"/>
        </w:rPr>
        <w:t>Reveer</w:t>
      </w:r>
      <w:proofErr w:type="spellEnd"/>
      <w:r w:rsidRPr="0056512B">
        <w:rPr>
          <w:rFonts w:ascii="Tenorite" w:hAnsi="Tenorite"/>
          <w:sz w:val="24"/>
          <w:szCs w:val="24"/>
        </w:rPr>
        <w:t xml:space="preserve"> Group, LLC</w:t>
      </w:r>
    </w:p>
    <w:p w14:paraId="43B8F31E" w14:textId="77777777" w:rsidR="003866A6" w:rsidRPr="0056512B" w:rsidRDefault="003866A6" w:rsidP="001A3ED7">
      <w:pPr>
        <w:spacing w:line="276" w:lineRule="auto"/>
        <w:contextualSpacing/>
        <w:rPr>
          <w:rFonts w:ascii="Tenorite" w:hAnsi="Tenorite"/>
          <w:sz w:val="24"/>
          <w:szCs w:val="24"/>
        </w:rPr>
      </w:pPr>
      <w:r w:rsidRPr="0056512B">
        <w:rPr>
          <w:rFonts w:ascii="Tenorite" w:hAnsi="Tenorite"/>
          <w:sz w:val="24"/>
          <w:szCs w:val="24"/>
        </w:rPr>
        <w:t>2971 West Montague Avenue, Suite 101</w:t>
      </w:r>
    </w:p>
    <w:p w14:paraId="29538E81" w14:textId="77777777" w:rsidR="003866A6" w:rsidRPr="0056512B" w:rsidRDefault="003866A6" w:rsidP="001A3ED7">
      <w:pPr>
        <w:spacing w:line="276" w:lineRule="auto"/>
        <w:contextualSpacing/>
        <w:rPr>
          <w:rFonts w:ascii="Tenorite" w:hAnsi="Tenorite"/>
          <w:sz w:val="24"/>
          <w:szCs w:val="24"/>
        </w:rPr>
      </w:pPr>
      <w:r w:rsidRPr="0056512B">
        <w:rPr>
          <w:rFonts w:ascii="Tenorite" w:hAnsi="Tenorite"/>
          <w:sz w:val="24"/>
          <w:szCs w:val="24"/>
        </w:rPr>
        <w:t>North Charleston, SC 29418</w:t>
      </w:r>
    </w:p>
    <w:p w14:paraId="0DC81CB9" w14:textId="0DF3CA03" w:rsidR="00A16C64" w:rsidRPr="007369BB" w:rsidRDefault="00A16C64" w:rsidP="00742E76">
      <w:pPr>
        <w:pStyle w:val="Heading1"/>
      </w:pPr>
      <w:r>
        <w:br w:type="page"/>
      </w:r>
      <w:bookmarkStart w:id="0" w:name="_Toc149731071"/>
      <w:r w:rsidR="00D861B8" w:rsidRPr="007369BB">
        <w:lastRenderedPageBreak/>
        <w:t>TABLE OF CONTENTS</w:t>
      </w:r>
      <w:bookmarkEnd w:id="0"/>
    </w:p>
    <w:sdt>
      <w:sdtPr>
        <w:rPr>
          <w:rFonts w:ascii="Arial" w:eastAsiaTheme="minorHAnsi" w:hAnsi="Arial" w:cstheme="minorBidi"/>
          <w:color w:val="auto"/>
          <w:kern w:val="2"/>
          <w:sz w:val="20"/>
          <w:szCs w:val="22"/>
          <w14:ligatures w14:val="standardContextual"/>
        </w:rPr>
        <w:id w:val="-98187243"/>
        <w:docPartObj>
          <w:docPartGallery w:val="Table of Contents"/>
          <w:docPartUnique/>
        </w:docPartObj>
      </w:sdtPr>
      <w:sdtEndPr>
        <w:rPr>
          <w:b/>
          <w:bCs/>
          <w:noProof/>
        </w:rPr>
      </w:sdtEndPr>
      <w:sdtContent>
        <w:p w14:paraId="736891EF" w14:textId="03CAE15E" w:rsidR="00E070A2" w:rsidRPr="00D861B8" w:rsidRDefault="00E070A2" w:rsidP="001A3ED7">
          <w:pPr>
            <w:pStyle w:val="TOCHeading"/>
            <w:spacing w:line="276" w:lineRule="auto"/>
            <w:contextualSpacing/>
            <w:rPr>
              <w:sz w:val="4"/>
              <w:szCs w:val="4"/>
            </w:rPr>
          </w:pPr>
        </w:p>
        <w:p w14:paraId="477EF105" w14:textId="0BD6C76E" w:rsidR="00240023" w:rsidRDefault="00E070A2">
          <w:pPr>
            <w:pStyle w:val="TOC1"/>
            <w:rPr>
              <w:rFonts w:asciiTheme="minorHAnsi" w:eastAsiaTheme="minorEastAsia" w:hAnsiTheme="minorHAnsi"/>
              <w:noProof/>
              <w:sz w:val="22"/>
            </w:rPr>
          </w:pPr>
          <w:r>
            <w:fldChar w:fldCharType="begin"/>
          </w:r>
          <w:r>
            <w:instrText xml:space="preserve"> TOC \o "1-3" \h \z \u </w:instrText>
          </w:r>
          <w:r>
            <w:fldChar w:fldCharType="separate"/>
          </w:r>
        </w:p>
        <w:p w14:paraId="6BF12587" w14:textId="110F27FC" w:rsidR="00240023" w:rsidRDefault="00000000">
          <w:pPr>
            <w:pStyle w:val="TOC1"/>
            <w:rPr>
              <w:rFonts w:asciiTheme="minorHAnsi" w:eastAsiaTheme="minorEastAsia" w:hAnsiTheme="minorHAnsi"/>
              <w:noProof/>
              <w:sz w:val="22"/>
            </w:rPr>
          </w:pPr>
          <w:hyperlink w:anchor="_Toc149731072" w:history="1">
            <w:r w:rsidR="00240023" w:rsidRPr="005D11DB">
              <w:rPr>
                <w:rStyle w:val="Hyperlink"/>
                <w:noProof/>
              </w:rPr>
              <w:t>Planned Development District Requirements</w:t>
            </w:r>
            <w:r w:rsidR="00240023">
              <w:rPr>
                <w:noProof/>
                <w:webHidden/>
              </w:rPr>
              <w:tab/>
            </w:r>
            <w:r w:rsidR="00240023">
              <w:rPr>
                <w:noProof/>
                <w:webHidden/>
              </w:rPr>
              <w:fldChar w:fldCharType="begin"/>
            </w:r>
            <w:r w:rsidR="00240023">
              <w:rPr>
                <w:noProof/>
                <w:webHidden/>
              </w:rPr>
              <w:instrText xml:space="preserve"> PAGEREF _Toc149731072 \h </w:instrText>
            </w:r>
            <w:r w:rsidR="00240023">
              <w:rPr>
                <w:noProof/>
                <w:webHidden/>
              </w:rPr>
            </w:r>
            <w:r w:rsidR="00240023">
              <w:rPr>
                <w:noProof/>
                <w:webHidden/>
              </w:rPr>
              <w:fldChar w:fldCharType="separate"/>
            </w:r>
            <w:r w:rsidR="00C6141B">
              <w:rPr>
                <w:noProof/>
                <w:webHidden/>
              </w:rPr>
              <w:t>4</w:t>
            </w:r>
            <w:r w:rsidR="00240023">
              <w:rPr>
                <w:noProof/>
                <w:webHidden/>
              </w:rPr>
              <w:fldChar w:fldCharType="end"/>
            </w:r>
          </w:hyperlink>
        </w:p>
        <w:p w14:paraId="1D39AEA5" w14:textId="78C59418" w:rsidR="00240023" w:rsidRDefault="00000000">
          <w:pPr>
            <w:pStyle w:val="TOC2"/>
            <w:rPr>
              <w:rFonts w:asciiTheme="minorHAnsi" w:eastAsiaTheme="minorEastAsia" w:hAnsiTheme="minorHAnsi"/>
              <w:noProof/>
              <w:sz w:val="22"/>
            </w:rPr>
          </w:pPr>
          <w:hyperlink w:anchor="_Toc149731073" w:history="1">
            <w:r w:rsidR="00240023" w:rsidRPr="005D11DB">
              <w:rPr>
                <w:rStyle w:val="Hyperlink"/>
                <w:noProof/>
              </w:rPr>
              <w:t>A.</w:t>
            </w:r>
            <w:r w:rsidR="00240023">
              <w:rPr>
                <w:rFonts w:asciiTheme="minorHAnsi" w:eastAsiaTheme="minorEastAsia" w:hAnsiTheme="minorHAnsi"/>
                <w:noProof/>
                <w:sz w:val="22"/>
              </w:rPr>
              <w:tab/>
            </w:r>
            <w:r w:rsidR="00240023" w:rsidRPr="005D11DB">
              <w:rPr>
                <w:rStyle w:val="Hyperlink"/>
                <w:noProof/>
              </w:rPr>
              <w:t>Project Identification</w:t>
            </w:r>
            <w:r w:rsidR="00240023">
              <w:rPr>
                <w:noProof/>
                <w:webHidden/>
              </w:rPr>
              <w:tab/>
            </w:r>
            <w:r w:rsidR="00240023">
              <w:rPr>
                <w:noProof/>
                <w:webHidden/>
              </w:rPr>
              <w:fldChar w:fldCharType="begin"/>
            </w:r>
            <w:r w:rsidR="00240023">
              <w:rPr>
                <w:noProof/>
                <w:webHidden/>
              </w:rPr>
              <w:instrText xml:space="preserve"> PAGEREF _Toc149731073 \h </w:instrText>
            </w:r>
            <w:r w:rsidR="00240023">
              <w:rPr>
                <w:noProof/>
                <w:webHidden/>
              </w:rPr>
            </w:r>
            <w:r w:rsidR="00240023">
              <w:rPr>
                <w:noProof/>
                <w:webHidden/>
              </w:rPr>
              <w:fldChar w:fldCharType="separate"/>
            </w:r>
            <w:r w:rsidR="00C6141B">
              <w:rPr>
                <w:noProof/>
                <w:webHidden/>
              </w:rPr>
              <w:t>4</w:t>
            </w:r>
            <w:r w:rsidR="00240023">
              <w:rPr>
                <w:noProof/>
                <w:webHidden/>
              </w:rPr>
              <w:fldChar w:fldCharType="end"/>
            </w:r>
          </w:hyperlink>
        </w:p>
        <w:p w14:paraId="48EDBA7F" w14:textId="00894563" w:rsidR="00240023" w:rsidRDefault="00000000">
          <w:pPr>
            <w:pStyle w:val="TOC2"/>
            <w:rPr>
              <w:rFonts w:asciiTheme="minorHAnsi" w:eastAsiaTheme="minorEastAsia" w:hAnsiTheme="minorHAnsi"/>
              <w:noProof/>
              <w:sz w:val="22"/>
            </w:rPr>
          </w:pPr>
          <w:hyperlink w:anchor="_Toc149731074" w:history="1">
            <w:r w:rsidR="00240023" w:rsidRPr="005D11DB">
              <w:rPr>
                <w:rStyle w:val="Hyperlink"/>
                <w:noProof/>
              </w:rPr>
              <w:t>B.</w:t>
            </w:r>
            <w:r w:rsidR="00240023">
              <w:rPr>
                <w:rFonts w:asciiTheme="minorHAnsi" w:eastAsiaTheme="minorEastAsia" w:hAnsiTheme="minorHAnsi"/>
                <w:noProof/>
                <w:sz w:val="22"/>
              </w:rPr>
              <w:tab/>
            </w:r>
            <w:r w:rsidR="00240023" w:rsidRPr="005D11DB">
              <w:rPr>
                <w:rStyle w:val="Hyperlink"/>
                <w:noProof/>
              </w:rPr>
              <w:t>General Conditions Compliance</w:t>
            </w:r>
            <w:r w:rsidR="00240023">
              <w:rPr>
                <w:noProof/>
                <w:webHidden/>
              </w:rPr>
              <w:tab/>
            </w:r>
            <w:r w:rsidR="00240023">
              <w:rPr>
                <w:noProof/>
                <w:webHidden/>
              </w:rPr>
              <w:fldChar w:fldCharType="begin"/>
            </w:r>
            <w:r w:rsidR="00240023">
              <w:rPr>
                <w:noProof/>
                <w:webHidden/>
              </w:rPr>
              <w:instrText xml:space="preserve"> PAGEREF _Toc149731074 \h </w:instrText>
            </w:r>
            <w:r w:rsidR="00240023">
              <w:rPr>
                <w:noProof/>
                <w:webHidden/>
              </w:rPr>
            </w:r>
            <w:r w:rsidR="00240023">
              <w:rPr>
                <w:noProof/>
                <w:webHidden/>
              </w:rPr>
              <w:fldChar w:fldCharType="separate"/>
            </w:r>
            <w:r w:rsidR="00C6141B">
              <w:rPr>
                <w:noProof/>
                <w:webHidden/>
              </w:rPr>
              <w:t>4</w:t>
            </w:r>
            <w:r w:rsidR="00240023">
              <w:rPr>
                <w:noProof/>
                <w:webHidden/>
              </w:rPr>
              <w:fldChar w:fldCharType="end"/>
            </w:r>
          </w:hyperlink>
        </w:p>
        <w:p w14:paraId="631869B5" w14:textId="49075468" w:rsidR="00240023" w:rsidRDefault="00000000">
          <w:pPr>
            <w:pStyle w:val="TOC2"/>
            <w:rPr>
              <w:rFonts w:asciiTheme="minorHAnsi" w:eastAsiaTheme="minorEastAsia" w:hAnsiTheme="minorHAnsi"/>
              <w:noProof/>
              <w:sz w:val="22"/>
            </w:rPr>
          </w:pPr>
          <w:hyperlink w:anchor="_Toc149731075" w:history="1">
            <w:r w:rsidR="00240023" w:rsidRPr="005D11DB">
              <w:rPr>
                <w:rStyle w:val="Hyperlink"/>
                <w:noProof/>
              </w:rPr>
              <w:t>C.</w:t>
            </w:r>
            <w:r w:rsidR="00240023">
              <w:rPr>
                <w:rFonts w:asciiTheme="minorHAnsi" w:eastAsiaTheme="minorEastAsia" w:hAnsiTheme="minorHAnsi"/>
                <w:noProof/>
                <w:sz w:val="22"/>
              </w:rPr>
              <w:tab/>
            </w:r>
            <w:r w:rsidR="00240023" w:rsidRPr="005D11DB">
              <w:rPr>
                <w:rStyle w:val="Hyperlink"/>
                <w:noProof/>
              </w:rPr>
              <w:t>Specific Requirements Compliance</w:t>
            </w:r>
            <w:r w:rsidR="00240023">
              <w:rPr>
                <w:noProof/>
                <w:webHidden/>
              </w:rPr>
              <w:tab/>
            </w:r>
            <w:r w:rsidR="00240023">
              <w:rPr>
                <w:noProof/>
                <w:webHidden/>
              </w:rPr>
              <w:fldChar w:fldCharType="begin"/>
            </w:r>
            <w:r w:rsidR="00240023">
              <w:rPr>
                <w:noProof/>
                <w:webHidden/>
              </w:rPr>
              <w:instrText xml:space="preserve"> PAGEREF _Toc149731075 \h </w:instrText>
            </w:r>
            <w:r w:rsidR="00240023">
              <w:rPr>
                <w:noProof/>
                <w:webHidden/>
              </w:rPr>
            </w:r>
            <w:r w:rsidR="00240023">
              <w:rPr>
                <w:noProof/>
                <w:webHidden/>
              </w:rPr>
              <w:fldChar w:fldCharType="separate"/>
            </w:r>
            <w:r w:rsidR="00C6141B">
              <w:rPr>
                <w:noProof/>
                <w:webHidden/>
              </w:rPr>
              <w:t>4</w:t>
            </w:r>
            <w:r w:rsidR="00240023">
              <w:rPr>
                <w:noProof/>
                <w:webHidden/>
              </w:rPr>
              <w:fldChar w:fldCharType="end"/>
            </w:r>
          </w:hyperlink>
        </w:p>
        <w:p w14:paraId="3A9C4136" w14:textId="16E7B149" w:rsidR="00240023" w:rsidRDefault="00000000">
          <w:pPr>
            <w:pStyle w:val="TOC2"/>
            <w:rPr>
              <w:rFonts w:asciiTheme="minorHAnsi" w:eastAsiaTheme="minorEastAsia" w:hAnsiTheme="minorHAnsi"/>
              <w:noProof/>
              <w:sz w:val="22"/>
            </w:rPr>
          </w:pPr>
          <w:hyperlink w:anchor="_Toc149731076" w:history="1">
            <w:r w:rsidR="00240023" w:rsidRPr="005D11DB">
              <w:rPr>
                <w:rStyle w:val="Hyperlink"/>
                <w:noProof/>
              </w:rPr>
              <w:t>D.</w:t>
            </w:r>
            <w:r w:rsidR="00240023">
              <w:rPr>
                <w:rFonts w:asciiTheme="minorHAnsi" w:eastAsiaTheme="minorEastAsia" w:hAnsiTheme="minorHAnsi"/>
                <w:noProof/>
                <w:sz w:val="22"/>
              </w:rPr>
              <w:tab/>
            </w:r>
            <w:r w:rsidR="00240023" w:rsidRPr="005D11DB">
              <w:rPr>
                <w:rStyle w:val="Hyperlink"/>
                <w:noProof/>
              </w:rPr>
              <w:t>Existing zoning</w:t>
            </w:r>
            <w:r w:rsidR="00240023">
              <w:rPr>
                <w:noProof/>
                <w:webHidden/>
              </w:rPr>
              <w:tab/>
            </w:r>
            <w:r w:rsidR="00240023">
              <w:rPr>
                <w:noProof/>
                <w:webHidden/>
              </w:rPr>
              <w:fldChar w:fldCharType="begin"/>
            </w:r>
            <w:r w:rsidR="00240023">
              <w:rPr>
                <w:noProof/>
                <w:webHidden/>
              </w:rPr>
              <w:instrText xml:space="preserve"> PAGEREF _Toc149731076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177E8325" w14:textId="0EFC6804" w:rsidR="00240023" w:rsidRDefault="00000000">
          <w:pPr>
            <w:pStyle w:val="TOC2"/>
            <w:rPr>
              <w:rFonts w:asciiTheme="minorHAnsi" w:eastAsiaTheme="minorEastAsia" w:hAnsiTheme="minorHAnsi"/>
              <w:noProof/>
              <w:sz w:val="22"/>
            </w:rPr>
          </w:pPr>
          <w:hyperlink w:anchor="_Toc149731077" w:history="1">
            <w:r w:rsidR="00240023" w:rsidRPr="005D11DB">
              <w:rPr>
                <w:rStyle w:val="Hyperlink"/>
                <w:noProof/>
              </w:rPr>
              <w:t>E.</w:t>
            </w:r>
            <w:r w:rsidR="00240023">
              <w:rPr>
                <w:rFonts w:asciiTheme="minorHAnsi" w:eastAsiaTheme="minorEastAsia" w:hAnsiTheme="minorHAnsi"/>
                <w:noProof/>
                <w:sz w:val="22"/>
              </w:rPr>
              <w:tab/>
            </w:r>
            <w:r w:rsidR="00240023" w:rsidRPr="005D11DB">
              <w:rPr>
                <w:rStyle w:val="Hyperlink"/>
                <w:noProof/>
              </w:rPr>
              <w:t>Modifications</w:t>
            </w:r>
            <w:r w:rsidR="00240023">
              <w:rPr>
                <w:noProof/>
                <w:webHidden/>
              </w:rPr>
              <w:tab/>
            </w:r>
            <w:r w:rsidR="00240023">
              <w:rPr>
                <w:noProof/>
                <w:webHidden/>
              </w:rPr>
              <w:fldChar w:fldCharType="begin"/>
            </w:r>
            <w:r w:rsidR="00240023">
              <w:rPr>
                <w:noProof/>
                <w:webHidden/>
              </w:rPr>
              <w:instrText xml:space="preserve"> PAGEREF _Toc149731077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6B79E3B4" w14:textId="1FDDA222" w:rsidR="00240023" w:rsidRDefault="00000000">
          <w:pPr>
            <w:pStyle w:val="TOC1"/>
            <w:rPr>
              <w:rFonts w:asciiTheme="minorHAnsi" w:eastAsiaTheme="minorEastAsia" w:hAnsiTheme="minorHAnsi"/>
              <w:noProof/>
              <w:sz w:val="22"/>
            </w:rPr>
          </w:pPr>
          <w:hyperlink w:anchor="_Toc149731078" w:history="1">
            <w:r w:rsidR="00240023" w:rsidRPr="005D11DB">
              <w:rPr>
                <w:rStyle w:val="Hyperlink"/>
                <w:noProof/>
              </w:rPr>
              <w:t>2.</w:t>
            </w:r>
            <w:r w:rsidR="00240023">
              <w:rPr>
                <w:rFonts w:asciiTheme="minorHAnsi" w:eastAsiaTheme="minorEastAsia" w:hAnsiTheme="minorHAnsi"/>
                <w:noProof/>
                <w:sz w:val="22"/>
              </w:rPr>
              <w:tab/>
            </w:r>
            <w:r w:rsidR="00240023" w:rsidRPr="005D11DB">
              <w:rPr>
                <w:rStyle w:val="Hyperlink"/>
                <w:noProof/>
              </w:rPr>
              <w:t>Site Description</w:t>
            </w:r>
            <w:r w:rsidR="00240023">
              <w:rPr>
                <w:noProof/>
                <w:webHidden/>
              </w:rPr>
              <w:tab/>
            </w:r>
            <w:r w:rsidR="00240023">
              <w:rPr>
                <w:noProof/>
                <w:webHidden/>
              </w:rPr>
              <w:fldChar w:fldCharType="begin"/>
            </w:r>
            <w:r w:rsidR="00240023">
              <w:rPr>
                <w:noProof/>
                <w:webHidden/>
              </w:rPr>
              <w:instrText xml:space="preserve"> PAGEREF _Toc149731078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3E21523F" w14:textId="18C5434B" w:rsidR="00240023" w:rsidRDefault="00000000">
          <w:pPr>
            <w:pStyle w:val="TOC2"/>
            <w:rPr>
              <w:rFonts w:asciiTheme="minorHAnsi" w:eastAsiaTheme="minorEastAsia" w:hAnsiTheme="minorHAnsi"/>
              <w:noProof/>
              <w:sz w:val="22"/>
            </w:rPr>
          </w:pPr>
          <w:hyperlink w:anchor="_Toc149731079" w:history="1">
            <w:r w:rsidR="00240023" w:rsidRPr="005D11DB">
              <w:rPr>
                <w:rStyle w:val="Hyperlink"/>
                <w:noProof/>
              </w:rPr>
              <w:t>A.</w:t>
            </w:r>
            <w:r w:rsidR="00240023">
              <w:rPr>
                <w:rFonts w:asciiTheme="minorHAnsi" w:eastAsiaTheme="minorEastAsia" w:hAnsiTheme="minorHAnsi"/>
                <w:noProof/>
                <w:sz w:val="22"/>
              </w:rPr>
              <w:tab/>
            </w:r>
            <w:r w:rsidR="00240023" w:rsidRPr="005D11DB">
              <w:rPr>
                <w:rStyle w:val="Hyperlink"/>
                <w:noProof/>
              </w:rPr>
              <w:t>General Location</w:t>
            </w:r>
            <w:r w:rsidR="00240023">
              <w:rPr>
                <w:noProof/>
                <w:webHidden/>
              </w:rPr>
              <w:tab/>
            </w:r>
            <w:r w:rsidR="00240023">
              <w:rPr>
                <w:noProof/>
                <w:webHidden/>
              </w:rPr>
              <w:fldChar w:fldCharType="begin"/>
            </w:r>
            <w:r w:rsidR="00240023">
              <w:rPr>
                <w:noProof/>
                <w:webHidden/>
              </w:rPr>
              <w:instrText xml:space="preserve"> PAGEREF _Toc149731079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1F5D1D6B" w14:textId="14C1BFA3" w:rsidR="00240023" w:rsidRDefault="00000000">
          <w:pPr>
            <w:pStyle w:val="TOC2"/>
            <w:rPr>
              <w:rFonts w:asciiTheme="minorHAnsi" w:eastAsiaTheme="minorEastAsia" w:hAnsiTheme="minorHAnsi"/>
              <w:noProof/>
              <w:sz w:val="22"/>
            </w:rPr>
          </w:pPr>
          <w:hyperlink w:anchor="_Toc149731080" w:history="1">
            <w:r w:rsidR="00240023" w:rsidRPr="005D11DB">
              <w:rPr>
                <w:rStyle w:val="Hyperlink"/>
                <w:noProof/>
              </w:rPr>
              <w:t>B.</w:t>
            </w:r>
            <w:r w:rsidR="00240023">
              <w:rPr>
                <w:rFonts w:asciiTheme="minorHAnsi" w:eastAsiaTheme="minorEastAsia" w:hAnsiTheme="minorHAnsi"/>
                <w:noProof/>
                <w:sz w:val="22"/>
              </w:rPr>
              <w:tab/>
            </w:r>
            <w:r w:rsidR="00240023" w:rsidRPr="005D11DB">
              <w:rPr>
                <w:rStyle w:val="Hyperlink"/>
                <w:noProof/>
              </w:rPr>
              <w:t>Parcel and Owner Summary</w:t>
            </w:r>
            <w:r w:rsidR="00240023">
              <w:rPr>
                <w:noProof/>
                <w:webHidden/>
              </w:rPr>
              <w:tab/>
            </w:r>
            <w:r w:rsidR="00240023">
              <w:rPr>
                <w:noProof/>
                <w:webHidden/>
              </w:rPr>
              <w:fldChar w:fldCharType="begin"/>
            </w:r>
            <w:r w:rsidR="00240023">
              <w:rPr>
                <w:noProof/>
                <w:webHidden/>
              </w:rPr>
              <w:instrText xml:space="preserve"> PAGEREF _Toc149731080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523E663D" w14:textId="54770D17" w:rsidR="00240023" w:rsidRDefault="00000000">
          <w:pPr>
            <w:pStyle w:val="TOC2"/>
            <w:rPr>
              <w:rFonts w:asciiTheme="minorHAnsi" w:eastAsiaTheme="minorEastAsia" w:hAnsiTheme="minorHAnsi"/>
              <w:noProof/>
              <w:sz w:val="22"/>
            </w:rPr>
          </w:pPr>
          <w:hyperlink w:anchor="_Toc149731081" w:history="1">
            <w:r w:rsidR="00240023" w:rsidRPr="005D11DB">
              <w:rPr>
                <w:rStyle w:val="Hyperlink"/>
                <w:noProof/>
              </w:rPr>
              <w:t>C.</w:t>
            </w:r>
            <w:r w:rsidR="00240023">
              <w:rPr>
                <w:rFonts w:asciiTheme="minorHAnsi" w:eastAsiaTheme="minorEastAsia" w:hAnsiTheme="minorHAnsi"/>
                <w:noProof/>
                <w:sz w:val="22"/>
              </w:rPr>
              <w:tab/>
            </w:r>
            <w:r w:rsidR="00240023" w:rsidRPr="005D11DB">
              <w:rPr>
                <w:rStyle w:val="Hyperlink"/>
                <w:noProof/>
              </w:rPr>
              <w:t>Total Site and Wetland Areas</w:t>
            </w:r>
            <w:r w:rsidR="00240023">
              <w:rPr>
                <w:noProof/>
                <w:webHidden/>
              </w:rPr>
              <w:tab/>
            </w:r>
            <w:r w:rsidR="00240023">
              <w:rPr>
                <w:noProof/>
                <w:webHidden/>
              </w:rPr>
              <w:fldChar w:fldCharType="begin"/>
            </w:r>
            <w:r w:rsidR="00240023">
              <w:rPr>
                <w:noProof/>
                <w:webHidden/>
              </w:rPr>
              <w:instrText xml:space="preserve"> PAGEREF _Toc149731081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3EE5203B" w14:textId="43742B2F" w:rsidR="00240023" w:rsidRDefault="00000000">
          <w:pPr>
            <w:pStyle w:val="TOC2"/>
            <w:rPr>
              <w:rFonts w:asciiTheme="minorHAnsi" w:eastAsiaTheme="minorEastAsia" w:hAnsiTheme="minorHAnsi"/>
              <w:noProof/>
              <w:sz w:val="22"/>
            </w:rPr>
          </w:pPr>
          <w:hyperlink w:anchor="_Toc149731082" w:history="1">
            <w:r w:rsidR="00240023" w:rsidRPr="005D11DB">
              <w:rPr>
                <w:rStyle w:val="Hyperlink"/>
                <w:noProof/>
              </w:rPr>
              <w:t>D.</w:t>
            </w:r>
            <w:r w:rsidR="00240023">
              <w:rPr>
                <w:rFonts w:asciiTheme="minorHAnsi" w:eastAsiaTheme="minorEastAsia" w:hAnsiTheme="minorHAnsi"/>
                <w:noProof/>
                <w:sz w:val="22"/>
              </w:rPr>
              <w:tab/>
            </w:r>
            <w:r w:rsidR="00240023" w:rsidRPr="005D11DB">
              <w:rPr>
                <w:rStyle w:val="Hyperlink"/>
                <w:noProof/>
              </w:rPr>
              <w:t xml:space="preserve">Areas of </w:t>
            </w:r>
            <w:r w:rsidR="00240023">
              <w:rPr>
                <w:rStyle w:val="Hyperlink"/>
                <w:noProof/>
              </w:rPr>
              <w:t>C</w:t>
            </w:r>
            <w:r w:rsidR="00240023" w:rsidRPr="005D11DB">
              <w:rPr>
                <w:rStyle w:val="Hyperlink"/>
                <w:noProof/>
              </w:rPr>
              <w:t xml:space="preserve">urrent </w:t>
            </w:r>
            <w:r w:rsidR="00240023">
              <w:rPr>
                <w:rStyle w:val="Hyperlink"/>
                <w:noProof/>
              </w:rPr>
              <w:t>F</w:t>
            </w:r>
            <w:r w:rsidR="00240023" w:rsidRPr="005D11DB">
              <w:rPr>
                <w:rStyle w:val="Hyperlink"/>
                <w:noProof/>
              </w:rPr>
              <w:t xml:space="preserve">orestry </w:t>
            </w:r>
            <w:r w:rsidR="00240023">
              <w:rPr>
                <w:rStyle w:val="Hyperlink"/>
                <w:noProof/>
              </w:rPr>
              <w:t>O</w:t>
            </w:r>
            <w:r w:rsidR="00240023" w:rsidRPr="005D11DB">
              <w:rPr>
                <w:rStyle w:val="Hyperlink"/>
                <w:noProof/>
              </w:rPr>
              <w:t>peration</w:t>
            </w:r>
            <w:r w:rsidR="00240023">
              <w:rPr>
                <w:noProof/>
                <w:webHidden/>
              </w:rPr>
              <w:tab/>
            </w:r>
            <w:r w:rsidR="00240023">
              <w:rPr>
                <w:noProof/>
                <w:webHidden/>
              </w:rPr>
              <w:fldChar w:fldCharType="begin"/>
            </w:r>
            <w:r w:rsidR="00240023">
              <w:rPr>
                <w:noProof/>
                <w:webHidden/>
              </w:rPr>
              <w:instrText xml:space="preserve"> PAGEREF _Toc149731082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77124AC0" w14:textId="31D51519" w:rsidR="00240023" w:rsidRDefault="00000000">
          <w:pPr>
            <w:pStyle w:val="TOC2"/>
            <w:rPr>
              <w:rFonts w:asciiTheme="minorHAnsi" w:eastAsiaTheme="minorEastAsia" w:hAnsiTheme="minorHAnsi"/>
              <w:noProof/>
              <w:sz w:val="22"/>
            </w:rPr>
          </w:pPr>
          <w:hyperlink w:anchor="_Toc149731083" w:history="1">
            <w:r w:rsidR="00240023" w:rsidRPr="005D11DB">
              <w:rPr>
                <w:rStyle w:val="Hyperlink"/>
                <w:noProof/>
              </w:rPr>
              <w:t>E.</w:t>
            </w:r>
            <w:r w:rsidR="00240023">
              <w:rPr>
                <w:rFonts w:asciiTheme="minorHAnsi" w:eastAsiaTheme="minorEastAsia" w:hAnsiTheme="minorHAnsi"/>
                <w:noProof/>
                <w:sz w:val="22"/>
              </w:rPr>
              <w:tab/>
            </w:r>
            <w:r w:rsidR="00240023" w:rsidRPr="005D11DB">
              <w:rPr>
                <w:rStyle w:val="Hyperlink"/>
                <w:noProof/>
              </w:rPr>
              <w:t>Areas of Known Environmental Contamination</w:t>
            </w:r>
            <w:r w:rsidR="00240023">
              <w:rPr>
                <w:noProof/>
                <w:webHidden/>
              </w:rPr>
              <w:tab/>
            </w:r>
            <w:r w:rsidR="00240023">
              <w:rPr>
                <w:noProof/>
                <w:webHidden/>
              </w:rPr>
              <w:fldChar w:fldCharType="begin"/>
            </w:r>
            <w:r w:rsidR="00240023">
              <w:rPr>
                <w:noProof/>
                <w:webHidden/>
              </w:rPr>
              <w:instrText xml:space="preserve"> PAGEREF _Toc149731083 \h </w:instrText>
            </w:r>
            <w:r w:rsidR="00240023">
              <w:rPr>
                <w:noProof/>
                <w:webHidden/>
              </w:rPr>
            </w:r>
            <w:r w:rsidR="00240023">
              <w:rPr>
                <w:noProof/>
                <w:webHidden/>
              </w:rPr>
              <w:fldChar w:fldCharType="separate"/>
            </w:r>
            <w:r w:rsidR="00C6141B">
              <w:rPr>
                <w:noProof/>
                <w:webHidden/>
              </w:rPr>
              <w:t>5</w:t>
            </w:r>
            <w:r w:rsidR="00240023">
              <w:rPr>
                <w:noProof/>
                <w:webHidden/>
              </w:rPr>
              <w:fldChar w:fldCharType="end"/>
            </w:r>
          </w:hyperlink>
        </w:p>
        <w:p w14:paraId="13CAA75B" w14:textId="01373430" w:rsidR="00240023" w:rsidRDefault="00000000">
          <w:pPr>
            <w:pStyle w:val="TOC2"/>
            <w:rPr>
              <w:rFonts w:asciiTheme="minorHAnsi" w:eastAsiaTheme="minorEastAsia" w:hAnsiTheme="minorHAnsi"/>
              <w:noProof/>
              <w:sz w:val="22"/>
            </w:rPr>
          </w:pPr>
          <w:hyperlink w:anchor="_Toc149731084" w:history="1">
            <w:r w:rsidR="00240023" w:rsidRPr="005D11DB">
              <w:rPr>
                <w:rStyle w:val="Hyperlink"/>
                <w:noProof/>
              </w:rPr>
              <w:t>F.</w:t>
            </w:r>
            <w:r w:rsidR="00240023">
              <w:rPr>
                <w:rFonts w:asciiTheme="minorHAnsi" w:eastAsiaTheme="minorEastAsia" w:hAnsiTheme="minorHAnsi"/>
                <w:noProof/>
                <w:sz w:val="22"/>
              </w:rPr>
              <w:tab/>
            </w:r>
            <w:r w:rsidR="00240023" w:rsidRPr="005D11DB">
              <w:rPr>
                <w:rStyle w:val="Hyperlink"/>
                <w:noProof/>
              </w:rPr>
              <w:t>Known Historical and Architecturally Significant Site</w:t>
            </w:r>
            <w:r w:rsidR="00240023">
              <w:rPr>
                <w:noProof/>
                <w:webHidden/>
              </w:rPr>
              <w:tab/>
            </w:r>
            <w:r w:rsidR="00240023">
              <w:rPr>
                <w:noProof/>
                <w:webHidden/>
              </w:rPr>
              <w:fldChar w:fldCharType="begin"/>
            </w:r>
            <w:r w:rsidR="00240023">
              <w:rPr>
                <w:noProof/>
                <w:webHidden/>
              </w:rPr>
              <w:instrText xml:space="preserve"> PAGEREF _Toc149731084 \h </w:instrText>
            </w:r>
            <w:r w:rsidR="00240023">
              <w:rPr>
                <w:noProof/>
                <w:webHidden/>
              </w:rPr>
            </w:r>
            <w:r w:rsidR="00240023">
              <w:rPr>
                <w:noProof/>
                <w:webHidden/>
              </w:rPr>
              <w:fldChar w:fldCharType="separate"/>
            </w:r>
            <w:r w:rsidR="00C6141B">
              <w:rPr>
                <w:noProof/>
                <w:webHidden/>
              </w:rPr>
              <w:t>6</w:t>
            </w:r>
            <w:r w:rsidR="00240023">
              <w:rPr>
                <w:noProof/>
                <w:webHidden/>
              </w:rPr>
              <w:fldChar w:fldCharType="end"/>
            </w:r>
          </w:hyperlink>
        </w:p>
        <w:p w14:paraId="60830E6C" w14:textId="67878479" w:rsidR="00240023" w:rsidRDefault="00000000">
          <w:pPr>
            <w:pStyle w:val="TOC2"/>
            <w:rPr>
              <w:rFonts w:asciiTheme="minorHAnsi" w:eastAsiaTheme="minorEastAsia" w:hAnsiTheme="minorHAnsi"/>
              <w:noProof/>
              <w:sz w:val="22"/>
            </w:rPr>
          </w:pPr>
          <w:hyperlink w:anchor="_Toc149731085" w:history="1">
            <w:r w:rsidR="00240023" w:rsidRPr="005D11DB">
              <w:rPr>
                <w:rStyle w:val="Hyperlink"/>
                <w:noProof/>
              </w:rPr>
              <w:t>G.</w:t>
            </w:r>
            <w:r w:rsidR="00240023">
              <w:rPr>
                <w:rFonts w:asciiTheme="minorHAnsi" w:eastAsiaTheme="minorEastAsia" w:hAnsiTheme="minorHAnsi"/>
                <w:noProof/>
                <w:sz w:val="22"/>
              </w:rPr>
              <w:tab/>
            </w:r>
            <w:r w:rsidR="00240023">
              <w:rPr>
                <w:rStyle w:val="Hyperlink"/>
                <w:noProof/>
              </w:rPr>
              <w:t>A</w:t>
            </w:r>
            <w:r w:rsidR="00240023" w:rsidRPr="005D11DB">
              <w:rPr>
                <w:rStyle w:val="Hyperlink"/>
                <w:noProof/>
              </w:rPr>
              <w:t>dditional Development Restrictions</w:t>
            </w:r>
            <w:r w:rsidR="00240023">
              <w:rPr>
                <w:noProof/>
                <w:webHidden/>
              </w:rPr>
              <w:tab/>
            </w:r>
            <w:r w:rsidR="00240023">
              <w:rPr>
                <w:noProof/>
                <w:webHidden/>
              </w:rPr>
              <w:fldChar w:fldCharType="begin"/>
            </w:r>
            <w:r w:rsidR="00240023">
              <w:rPr>
                <w:noProof/>
                <w:webHidden/>
              </w:rPr>
              <w:instrText xml:space="preserve"> PAGEREF _Toc149731085 \h </w:instrText>
            </w:r>
            <w:r w:rsidR="00240023">
              <w:rPr>
                <w:noProof/>
                <w:webHidden/>
              </w:rPr>
            </w:r>
            <w:r w:rsidR="00240023">
              <w:rPr>
                <w:noProof/>
                <w:webHidden/>
              </w:rPr>
              <w:fldChar w:fldCharType="separate"/>
            </w:r>
            <w:r w:rsidR="00C6141B">
              <w:rPr>
                <w:noProof/>
                <w:webHidden/>
              </w:rPr>
              <w:t>6</w:t>
            </w:r>
            <w:r w:rsidR="00240023">
              <w:rPr>
                <w:noProof/>
                <w:webHidden/>
              </w:rPr>
              <w:fldChar w:fldCharType="end"/>
            </w:r>
          </w:hyperlink>
        </w:p>
        <w:p w14:paraId="1ECD2033" w14:textId="6149CE1D" w:rsidR="00240023" w:rsidRDefault="00000000">
          <w:pPr>
            <w:pStyle w:val="TOC1"/>
            <w:rPr>
              <w:rFonts w:asciiTheme="minorHAnsi" w:eastAsiaTheme="minorEastAsia" w:hAnsiTheme="minorHAnsi"/>
              <w:noProof/>
              <w:sz w:val="22"/>
            </w:rPr>
          </w:pPr>
          <w:hyperlink w:anchor="_Toc149731086" w:history="1">
            <w:r w:rsidR="00240023" w:rsidRPr="005D11DB">
              <w:rPr>
                <w:rStyle w:val="Hyperlink"/>
                <w:noProof/>
              </w:rPr>
              <w:t>3.</w:t>
            </w:r>
            <w:r w:rsidR="00240023">
              <w:rPr>
                <w:rFonts w:asciiTheme="minorHAnsi" w:eastAsiaTheme="minorEastAsia" w:hAnsiTheme="minorHAnsi"/>
                <w:noProof/>
                <w:sz w:val="22"/>
              </w:rPr>
              <w:tab/>
            </w:r>
            <w:r w:rsidR="00240023" w:rsidRPr="005D11DB">
              <w:rPr>
                <w:rStyle w:val="Hyperlink"/>
                <w:noProof/>
              </w:rPr>
              <w:t>Development Narrative</w:t>
            </w:r>
            <w:r w:rsidR="00240023">
              <w:rPr>
                <w:noProof/>
                <w:webHidden/>
              </w:rPr>
              <w:tab/>
            </w:r>
            <w:r w:rsidR="00240023">
              <w:rPr>
                <w:noProof/>
                <w:webHidden/>
              </w:rPr>
              <w:fldChar w:fldCharType="begin"/>
            </w:r>
            <w:r w:rsidR="00240023">
              <w:rPr>
                <w:noProof/>
                <w:webHidden/>
              </w:rPr>
              <w:instrText xml:space="preserve"> PAGEREF _Toc149731086 \h </w:instrText>
            </w:r>
            <w:r w:rsidR="00240023">
              <w:rPr>
                <w:noProof/>
                <w:webHidden/>
              </w:rPr>
            </w:r>
            <w:r w:rsidR="00240023">
              <w:rPr>
                <w:noProof/>
                <w:webHidden/>
              </w:rPr>
              <w:fldChar w:fldCharType="separate"/>
            </w:r>
            <w:r w:rsidR="00C6141B">
              <w:rPr>
                <w:noProof/>
                <w:webHidden/>
              </w:rPr>
              <w:t>6</w:t>
            </w:r>
            <w:r w:rsidR="00240023">
              <w:rPr>
                <w:noProof/>
                <w:webHidden/>
              </w:rPr>
              <w:fldChar w:fldCharType="end"/>
            </w:r>
          </w:hyperlink>
        </w:p>
        <w:p w14:paraId="3E590BA2" w14:textId="145B482C" w:rsidR="00240023" w:rsidRDefault="00000000">
          <w:pPr>
            <w:pStyle w:val="TOC2"/>
            <w:rPr>
              <w:rFonts w:asciiTheme="minorHAnsi" w:eastAsiaTheme="minorEastAsia" w:hAnsiTheme="minorHAnsi"/>
              <w:noProof/>
              <w:sz w:val="22"/>
            </w:rPr>
          </w:pPr>
          <w:hyperlink w:anchor="_Toc149731087" w:history="1">
            <w:r w:rsidR="00240023" w:rsidRPr="005D11DB">
              <w:rPr>
                <w:rStyle w:val="Hyperlink"/>
                <w:noProof/>
              </w:rPr>
              <w:t>A.</w:t>
            </w:r>
            <w:r w:rsidR="00240023">
              <w:rPr>
                <w:rFonts w:asciiTheme="minorHAnsi" w:eastAsiaTheme="minorEastAsia" w:hAnsiTheme="minorHAnsi"/>
                <w:noProof/>
                <w:sz w:val="22"/>
              </w:rPr>
              <w:tab/>
            </w:r>
            <w:r w:rsidR="00240023" w:rsidRPr="005D11DB">
              <w:rPr>
                <w:rStyle w:val="Hyperlink"/>
                <w:noProof/>
              </w:rPr>
              <w:t>Intent of the Standards</w:t>
            </w:r>
            <w:r w:rsidR="00240023">
              <w:rPr>
                <w:noProof/>
                <w:webHidden/>
              </w:rPr>
              <w:tab/>
            </w:r>
            <w:r w:rsidR="00240023">
              <w:rPr>
                <w:noProof/>
                <w:webHidden/>
              </w:rPr>
              <w:fldChar w:fldCharType="begin"/>
            </w:r>
            <w:r w:rsidR="00240023">
              <w:rPr>
                <w:noProof/>
                <w:webHidden/>
              </w:rPr>
              <w:instrText xml:space="preserve"> PAGEREF _Toc149731087 \h </w:instrText>
            </w:r>
            <w:r w:rsidR="00240023">
              <w:rPr>
                <w:noProof/>
                <w:webHidden/>
              </w:rPr>
            </w:r>
            <w:r w:rsidR="00240023">
              <w:rPr>
                <w:noProof/>
                <w:webHidden/>
              </w:rPr>
              <w:fldChar w:fldCharType="separate"/>
            </w:r>
            <w:r w:rsidR="00C6141B">
              <w:rPr>
                <w:noProof/>
                <w:webHidden/>
              </w:rPr>
              <w:t>6</w:t>
            </w:r>
            <w:r w:rsidR="00240023">
              <w:rPr>
                <w:noProof/>
                <w:webHidden/>
              </w:rPr>
              <w:fldChar w:fldCharType="end"/>
            </w:r>
          </w:hyperlink>
        </w:p>
        <w:p w14:paraId="79202E26" w14:textId="68DC4798" w:rsidR="00240023" w:rsidRDefault="00000000">
          <w:pPr>
            <w:pStyle w:val="TOC2"/>
            <w:rPr>
              <w:rFonts w:asciiTheme="minorHAnsi" w:eastAsiaTheme="minorEastAsia" w:hAnsiTheme="minorHAnsi"/>
              <w:noProof/>
              <w:sz w:val="22"/>
            </w:rPr>
          </w:pPr>
          <w:hyperlink w:anchor="_Toc149731088" w:history="1">
            <w:r w:rsidR="00240023" w:rsidRPr="005D11DB">
              <w:rPr>
                <w:rStyle w:val="Hyperlink"/>
                <w:noProof/>
              </w:rPr>
              <w:t>B.</w:t>
            </w:r>
            <w:r w:rsidR="00240023">
              <w:rPr>
                <w:rFonts w:asciiTheme="minorHAnsi" w:eastAsiaTheme="minorEastAsia" w:hAnsiTheme="minorHAnsi"/>
                <w:noProof/>
                <w:sz w:val="22"/>
              </w:rPr>
              <w:tab/>
            </w:r>
            <w:r w:rsidR="00240023" w:rsidRPr="005D11DB">
              <w:rPr>
                <w:rStyle w:val="Hyperlink"/>
                <w:noProof/>
              </w:rPr>
              <w:t>Permitted and Conditional U</w:t>
            </w:r>
            <w:r w:rsidR="00240023">
              <w:rPr>
                <w:rStyle w:val="Hyperlink"/>
                <w:noProof/>
              </w:rPr>
              <w:t>se</w:t>
            </w:r>
            <w:r w:rsidR="00240023" w:rsidRPr="005D11DB">
              <w:rPr>
                <w:rStyle w:val="Hyperlink"/>
                <w:noProof/>
              </w:rPr>
              <w:t>s</w:t>
            </w:r>
            <w:r w:rsidR="00240023">
              <w:rPr>
                <w:noProof/>
                <w:webHidden/>
              </w:rPr>
              <w:tab/>
            </w:r>
            <w:r w:rsidR="00240023">
              <w:rPr>
                <w:noProof/>
                <w:webHidden/>
              </w:rPr>
              <w:fldChar w:fldCharType="begin"/>
            </w:r>
            <w:r w:rsidR="00240023">
              <w:rPr>
                <w:noProof/>
                <w:webHidden/>
              </w:rPr>
              <w:instrText xml:space="preserve"> PAGEREF _Toc149731088 \h </w:instrText>
            </w:r>
            <w:r w:rsidR="00240023">
              <w:rPr>
                <w:noProof/>
                <w:webHidden/>
              </w:rPr>
            </w:r>
            <w:r w:rsidR="00240023">
              <w:rPr>
                <w:noProof/>
                <w:webHidden/>
              </w:rPr>
              <w:fldChar w:fldCharType="separate"/>
            </w:r>
            <w:r w:rsidR="00C6141B">
              <w:rPr>
                <w:noProof/>
                <w:webHidden/>
              </w:rPr>
              <w:t>6</w:t>
            </w:r>
            <w:r w:rsidR="00240023">
              <w:rPr>
                <w:noProof/>
                <w:webHidden/>
              </w:rPr>
              <w:fldChar w:fldCharType="end"/>
            </w:r>
          </w:hyperlink>
        </w:p>
        <w:p w14:paraId="62976203" w14:textId="31E30EFD" w:rsidR="00240023" w:rsidRDefault="00000000">
          <w:pPr>
            <w:pStyle w:val="TOC2"/>
            <w:rPr>
              <w:rFonts w:asciiTheme="minorHAnsi" w:eastAsiaTheme="minorEastAsia" w:hAnsiTheme="minorHAnsi"/>
              <w:noProof/>
              <w:sz w:val="22"/>
            </w:rPr>
          </w:pPr>
          <w:hyperlink w:anchor="_Toc149731089" w:history="1">
            <w:r w:rsidR="00240023" w:rsidRPr="005D11DB">
              <w:rPr>
                <w:rStyle w:val="Hyperlink"/>
                <w:noProof/>
              </w:rPr>
              <w:t>C.</w:t>
            </w:r>
            <w:r w:rsidR="00240023">
              <w:rPr>
                <w:rFonts w:asciiTheme="minorHAnsi" w:eastAsiaTheme="minorEastAsia" w:hAnsiTheme="minorHAnsi"/>
                <w:noProof/>
                <w:sz w:val="22"/>
              </w:rPr>
              <w:tab/>
            </w:r>
            <w:r w:rsidR="00240023" w:rsidRPr="005D11DB">
              <w:rPr>
                <w:rStyle w:val="Hyperlink"/>
                <w:noProof/>
              </w:rPr>
              <w:t>L</w:t>
            </w:r>
            <w:r w:rsidR="00240023">
              <w:rPr>
                <w:rStyle w:val="Hyperlink"/>
                <w:noProof/>
              </w:rPr>
              <w:t>and</w:t>
            </w:r>
            <w:r w:rsidR="00240023" w:rsidRPr="005D11DB">
              <w:rPr>
                <w:rStyle w:val="Hyperlink"/>
                <w:noProof/>
              </w:rPr>
              <w:t xml:space="preserve"> U</w:t>
            </w:r>
            <w:r w:rsidR="00240023">
              <w:rPr>
                <w:rStyle w:val="Hyperlink"/>
                <w:noProof/>
              </w:rPr>
              <w:t>se</w:t>
            </w:r>
            <w:r w:rsidR="00240023">
              <w:rPr>
                <w:noProof/>
                <w:webHidden/>
              </w:rPr>
              <w:tab/>
            </w:r>
            <w:r w:rsidR="00240023">
              <w:rPr>
                <w:noProof/>
                <w:webHidden/>
              </w:rPr>
              <w:fldChar w:fldCharType="begin"/>
            </w:r>
            <w:r w:rsidR="00240023">
              <w:rPr>
                <w:noProof/>
                <w:webHidden/>
              </w:rPr>
              <w:instrText xml:space="preserve"> PAGEREF _Toc149731089 \h </w:instrText>
            </w:r>
            <w:r w:rsidR="00240023">
              <w:rPr>
                <w:noProof/>
                <w:webHidden/>
              </w:rPr>
            </w:r>
            <w:r w:rsidR="00240023">
              <w:rPr>
                <w:noProof/>
                <w:webHidden/>
              </w:rPr>
              <w:fldChar w:fldCharType="separate"/>
            </w:r>
            <w:r w:rsidR="00C6141B">
              <w:rPr>
                <w:noProof/>
                <w:webHidden/>
              </w:rPr>
              <w:t>7</w:t>
            </w:r>
            <w:r w:rsidR="00240023">
              <w:rPr>
                <w:noProof/>
                <w:webHidden/>
              </w:rPr>
              <w:fldChar w:fldCharType="end"/>
            </w:r>
          </w:hyperlink>
        </w:p>
        <w:p w14:paraId="6497F0D1" w14:textId="43EC0F23" w:rsidR="00240023" w:rsidRDefault="00000000">
          <w:pPr>
            <w:pStyle w:val="TOC1"/>
            <w:rPr>
              <w:rFonts w:asciiTheme="minorHAnsi" w:eastAsiaTheme="minorEastAsia" w:hAnsiTheme="minorHAnsi"/>
              <w:noProof/>
              <w:sz w:val="22"/>
            </w:rPr>
          </w:pPr>
          <w:hyperlink w:anchor="_Toc149731090" w:history="1">
            <w:r w:rsidR="00240023" w:rsidRPr="005D11DB">
              <w:rPr>
                <w:rStyle w:val="Hyperlink"/>
                <w:noProof/>
              </w:rPr>
              <w:t>4.</w:t>
            </w:r>
            <w:r w:rsidR="00240023">
              <w:rPr>
                <w:rFonts w:asciiTheme="minorHAnsi" w:eastAsiaTheme="minorEastAsia" w:hAnsiTheme="minorHAnsi"/>
                <w:noProof/>
                <w:sz w:val="22"/>
              </w:rPr>
              <w:tab/>
            </w:r>
            <w:r w:rsidR="00240023" w:rsidRPr="005D11DB">
              <w:rPr>
                <w:rStyle w:val="Hyperlink"/>
                <w:noProof/>
              </w:rPr>
              <w:t>Development Standards</w:t>
            </w:r>
            <w:r w:rsidR="00240023">
              <w:rPr>
                <w:noProof/>
                <w:webHidden/>
              </w:rPr>
              <w:tab/>
            </w:r>
            <w:r w:rsidR="00240023">
              <w:rPr>
                <w:noProof/>
                <w:webHidden/>
              </w:rPr>
              <w:fldChar w:fldCharType="begin"/>
            </w:r>
            <w:r w:rsidR="00240023">
              <w:rPr>
                <w:noProof/>
                <w:webHidden/>
              </w:rPr>
              <w:instrText xml:space="preserve"> PAGEREF _Toc149731090 \h </w:instrText>
            </w:r>
            <w:r w:rsidR="00240023">
              <w:rPr>
                <w:noProof/>
                <w:webHidden/>
              </w:rPr>
            </w:r>
            <w:r w:rsidR="00240023">
              <w:rPr>
                <w:noProof/>
                <w:webHidden/>
              </w:rPr>
              <w:fldChar w:fldCharType="separate"/>
            </w:r>
            <w:r w:rsidR="00C6141B">
              <w:rPr>
                <w:noProof/>
                <w:webHidden/>
              </w:rPr>
              <w:t>8</w:t>
            </w:r>
            <w:r w:rsidR="00240023">
              <w:rPr>
                <w:noProof/>
                <w:webHidden/>
              </w:rPr>
              <w:fldChar w:fldCharType="end"/>
            </w:r>
          </w:hyperlink>
        </w:p>
        <w:p w14:paraId="33FE7910" w14:textId="6E19C7F6" w:rsidR="00240023" w:rsidRDefault="00000000">
          <w:pPr>
            <w:pStyle w:val="TOC2"/>
            <w:rPr>
              <w:rFonts w:asciiTheme="minorHAnsi" w:eastAsiaTheme="minorEastAsia" w:hAnsiTheme="minorHAnsi"/>
              <w:noProof/>
              <w:sz w:val="22"/>
            </w:rPr>
          </w:pPr>
          <w:hyperlink w:anchor="_Toc149731091" w:history="1">
            <w:r w:rsidR="00240023" w:rsidRPr="005D11DB">
              <w:rPr>
                <w:rStyle w:val="Hyperlink"/>
                <w:noProof/>
              </w:rPr>
              <w:t>A.</w:t>
            </w:r>
            <w:r w:rsidR="00240023">
              <w:rPr>
                <w:rFonts w:asciiTheme="minorHAnsi" w:eastAsiaTheme="minorEastAsia" w:hAnsiTheme="minorHAnsi"/>
                <w:noProof/>
                <w:sz w:val="22"/>
              </w:rPr>
              <w:tab/>
            </w:r>
            <w:r w:rsidR="00240023" w:rsidRPr="005D11DB">
              <w:rPr>
                <w:rStyle w:val="Hyperlink"/>
                <w:noProof/>
              </w:rPr>
              <w:t>Lots</w:t>
            </w:r>
            <w:r w:rsidR="00240023">
              <w:rPr>
                <w:noProof/>
                <w:webHidden/>
              </w:rPr>
              <w:tab/>
            </w:r>
            <w:r w:rsidR="00240023">
              <w:rPr>
                <w:noProof/>
                <w:webHidden/>
              </w:rPr>
              <w:fldChar w:fldCharType="begin"/>
            </w:r>
            <w:r w:rsidR="00240023">
              <w:rPr>
                <w:noProof/>
                <w:webHidden/>
              </w:rPr>
              <w:instrText xml:space="preserve"> PAGEREF _Toc149731091 \h </w:instrText>
            </w:r>
            <w:r w:rsidR="00240023">
              <w:rPr>
                <w:noProof/>
                <w:webHidden/>
              </w:rPr>
            </w:r>
            <w:r w:rsidR="00240023">
              <w:rPr>
                <w:noProof/>
                <w:webHidden/>
              </w:rPr>
              <w:fldChar w:fldCharType="separate"/>
            </w:r>
            <w:r w:rsidR="00C6141B">
              <w:rPr>
                <w:noProof/>
                <w:webHidden/>
              </w:rPr>
              <w:t>8</w:t>
            </w:r>
            <w:r w:rsidR="00240023">
              <w:rPr>
                <w:noProof/>
                <w:webHidden/>
              </w:rPr>
              <w:fldChar w:fldCharType="end"/>
            </w:r>
          </w:hyperlink>
        </w:p>
        <w:p w14:paraId="44772D4F" w14:textId="53115EFF" w:rsidR="00240023" w:rsidRDefault="00000000">
          <w:pPr>
            <w:pStyle w:val="TOC2"/>
            <w:rPr>
              <w:rFonts w:asciiTheme="minorHAnsi" w:eastAsiaTheme="minorEastAsia" w:hAnsiTheme="minorHAnsi"/>
              <w:noProof/>
              <w:sz w:val="22"/>
            </w:rPr>
          </w:pPr>
          <w:hyperlink w:anchor="_Toc149731092" w:history="1">
            <w:r w:rsidR="00240023" w:rsidRPr="005D11DB">
              <w:rPr>
                <w:rStyle w:val="Hyperlink"/>
                <w:noProof/>
              </w:rPr>
              <w:t>B.</w:t>
            </w:r>
            <w:r w:rsidR="00240023">
              <w:rPr>
                <w:rFonts w:asciiTheme="minorHAnsi" w:eastAsiaTheme="minorEastAsia" w:hAnsiTheme="minorHAnsi"/>
                <w:noProof/>
                <w:sz w:val="22"/>
              </w:rPr>
              <w:tab/>
            </w:r>
            <w:r w:rsidR="00240023" w:rsidRPr="005D11DB">
              <w:rPr>
                <w:rStyle w:val="Hyperlink"/>
                <w:noProof/>
              </w:rPr>
              <w:t xml:space="preserve">Buffer </w:t>
            </w:r>
            <w:r w:rsidR="00240023">
              <w:rPr>
                <w:rStyle w:val="Hyperlink"/>
                <w:noProof/>
              </w:rPr>
              <w:t>A</w:t>
            </w:r>
            <w:r w:rsidR="00240023" w:rsidRPr="005D11DB">
              <w:rPr>
                <w:rStyle w:val="Hyperlink"/>
                <w:noProof/>
              </w:rPr>
              <w:t>reas</w:t>
            </w:r>
            <w:r w:rsidR="00240023">
              <w:rPr>
                <w:noProof/>
                <w:webHidden/>
              </w:rPr>
              <w:tab/>
            </w:r>
            <w:r w:rsidR="00240023">
              <w:rPr>
                <w:noProof/>
                <w:webHidden/>
              </w:rPr>
              <w:fldChar w:fldCharType="begin"/>
            </w:r>
            <w:r w:rsidR="00240023">
              <w:rPr>
                <w:noProof/>
                <w:webHidden/>
              </w:rPr>
              <w:instrText xml:space="preserve"> PAGEREF _Toc149731092 \h </w:instrText>
            </w:r>
            <w:r w:rsidR="00240023">
              <w:rPr>
                <w:noProof/>
                <w:webHidden/>
              </w:rPr>
            </w:r>
            <w:r w:rsidR="00240023">
              <w:rPr>
                <w:noProof/>
                <w:webHidden/>
              </w:rPr>
              <w:fldChar w:fldCharType="separate"/>
            </w:r>
            <w:r w:rsidR="00C6141B">
              <w:rPr>
                <w:noProof/>
                <w:webHidden/>
              </w:rPr>
              <w:t>9</w:t>
            </w:r>
            <w:r w:rsidR="00240023">
              <w:rPr>
                <w:noProof/>
                <w:webHidden/>
              </w:rPr>
              <w:fldChar w:fldCharType="end"/>
            </w:r>
          </w:hyperlink>
        </w:p>
        <w:p w14:paraId="2B120904" w14:textId="3F84A770" w:rsidR="00240023" w:rsidRDefault="00000000">
          <w:pPr>
            <w:pStyle w:val="TOC2"/>
            <w:rPr>
              <w:rFonts w:asciiTheme="minorHAnsi" w:eastAsiaTheme="minorEastAsia" w:hAnsiTheme="minorHAnsi"/>
              <w:noProof/>
              <w:sz w:val="22"/>
            </w:rPr>
          </w:pPr>
          <w:hyperlink w:anchor="_Toc149731093" w:history="1">
            <w:r w:rsidR="00240023" w:rsidRPr="005D11DB">
              <w:rPr>
                <w:rStyle w:val="Hyperlink"/>
                <w:noProof/>
              </w:rPr>
              <w:t>C.</w:t>
            </w:r>
            <w:r w:rsidR="00240023">
              <w:rPr>
                <w:rFonts w:asciiTheme="minorHAnsi" w:eastAsiaTheme="minorEastAsia" w:hAnsiTheme="minorHAnsi"/>
                <w:noProof/>
                <w:sz w:val="22"/>
              </w:rPr>
              <w:tab/>
            </w:r>
            <w:r w:rsidR="00240023" w:rsidRPr="005D11DB">
              <w:rPr>
                <w:rStyle w:val="Hyperlink"/>
                <w:noProof/>
              </w:rPr>
              <w:t>Screening</w:t>
            </w:r>
            <w:r w:rsidR="00240023">
              <w:rPr>
                <w:noProof/>
                <w:webHidden/>
              </w:rPr>
              <w:tab/>
            </w:r>
            <w:r w:rsidR="00240023">
              <w:rPr>
                <w:noProof/>
                <w:webHidden/>
              </w:rPr>
              <w:fldChar w:fldCharType="begin"/>
            </w:r>
            <w:r w:rsidR="00240023">
              <w:rPr>
                <w:noProof/>
                <w:webHidden/>
              </w:rPr>
              <w:instrText xml:space="preserve"> PAGEREF _Toc149731093 \h </w:instrText>
            </w:r>
            <w:r w:rsidR="00240023">
              <w:rPr>
                <w:noProof/>
                <w:webHidden/>
              </w:rPr>
            </w:r>
            <w:r w:rsidR="00240023">
              <w:rPr>
                <w:noProof/>
                <w:webHidden/>
              </w:rPr>
              <w:fldChar w:fldCharType="separate"/>
            </w:r>
            <w:r w:rsidR="00C6141B">
              <w:rPr>
                <w:noProof/>
                <w:webHidden/>
              </w:rPr>
              <w:t>9</w:t>
            </w:r>
            <w:r w:rsidR="00240023">
              <w:rPr>
                <w:noProof/>
                <w:webHidden/>
              </w:rPr>
              <w:fldChar w:fldCharType="end"/>
            </w:r>
          </w:hyperlink>
        </w:p>
        <w:p w14:paraId="6DF0A5B5" w14:textId="43C1B5F0" w:rsidR="00240023" w:rsidRDefault="00000000">
          <w:pPr>
            <w:pStyle w:val="TOC2"/>
            <w:rPr>
              <w:rFonts w:asciiTheme="minorHAnsi" w:eastAsiaTheme="minorEastAsia" w:hAnsiTheme="minorHAnsi"/>
              <w:noProof/>
              <w:sz w:val="22"/>
            </w:rPr>
          </w:pPr>
          <w:hyperlink w:anchor="_Toc149731094" w:history="1">
            <w:r w:rsidR="00240023" w:rsidRPr="005D11DB">
              <w:rPr>
                <w:rStyle w:val="Hyperlink"/>
                <w:noProof/>
              </w:rPr>
              <w:t>D.</w:t>
            </w:r>
            <w:r w:rsidR="00240023">
              <w:rPr>
                <w:rFonts w:asciiTheme="minorHAnsi" w:eastAsiaTheme="minorEastAsia" w:hAnsiTheme="minorHAnsi"/>
                <w:noProof/>
                <w:sz w:val="22"/>
              </w:rPr>
              <w:tab/>
            </w:r>
            <w:r w:rsidR="00240023" w:rsidRPr="005D11DB">
              <w:rPr>
                <w:rStyle w:val="Hyperlink"/>
                <w:noProof/>
              </w:rPr>
              <w:t>Landscaping</w:t>
            </w:r>
            <w:r w:rsidR="00240023">
              <w:rPr>
                <w:noProof/>
                <w:webHidden/>
              </w:rPr>
              <w:tab/>
            </w:r>
            <w:r w:rsidR="00240023">
              <w:rPr>
                <w:noProof/>
                <w:webHidden/>
              </w:rPr>
              <w:fldChar w:fldCharType="begin"/>
            </w:r>
            <w:r w:rsidR="00240023">
              <w:rPr>
                <w:noProof/>
                <w:webHidden/>
              </w:rPr>
              <w:instrText xml:space="preserve"> PAGEREF _Toc149731094 \h </w:instrText>
            </w:r>
            <w:r w:rsidR="00240023">
              <w:rPr>
                <w:noProof/>
                <w:webHidden/>
              </w:rPr>
            </w:r>
            <w:r w:rsidR="00240023">
              <w:rPr>
                <w:noProof/>
                <w:webHidden/>
              </w:rPr>
              <w:fldChar w:fldCharType="separate"/>
            </w:r>
            <w:r w:rsidR="00C6141B">
              <w:rPr>
                <w:noProof/>
                <w:webHidden/>
              </w:rPr>
              <w:t>9</w:t>
            </w:r>
            <w:r w:rsidR="00240023">
              <w:rPr>
                <w:noProof/>
                <w:webHidden/>
              </w:rPr>
              <w:fldChar w:fldCharType="end"/>
            </w:r>
          </w:hyperlink>
        </w:p>
        <w:p w14:paraId="441206FE" w14:textId="7ADB6FF9" w:rsidR="00240023" w:rsidRDefault="00000000">
          <w:pPr>
            <w:pStyle w:val="TOC2"/>
            <w:rPr>
              <w:rFonts w:asciiTheme="minorHAnsi" w:eastAsiaTheme="minorEastAsia" w:hAnsiTheme="minorHAnsi"/>
              <w:noProof/>
              <w:sz w:val="22"/>
            </w:rPr>
          </w:pPr>
          <w:hyperlink w:anchor="_Toc149731095" w:history="1">
            <w:r w:rsidR="00240023" w:rsidRPr="005D11DB">
              <w:rPr>
                <w:rStyle w:val="Hyperlink"/>
                <w:noProof/>
              </w:rPr>
              <w:t>E.</w:t>
            </w:r>
            <w:r w:rsidR="00240023">
              <w:rPr>
                <w:rFonts w:asciiTheme="minorHAnsi" w:eastAsiaTheme="minorEastAsia" w:hAnsiTheme="minorHAnsi"/>
                <w:noProof/>
                <w:sz w:val="22"/>
              </w:rPr>
              <w:tab/>
            </w:r>
            <w:r w:rsidR="00240023" w:rsidRPr="005D11DB">
              <w:rPr>
                <w:rStyle w:val="Hyperlink"/>
                <w:noProof/>
              </w:rPr>
              <w:t>Tree Protection and Mitigation</w:t>
            </w:r>
            <w:r w:rsidR="00240023">
              <w:rPr>
                <w:noProof/>
                <w:webHidden/>
              </w:rPr>
              <w:tab/>
            </w:r>
            <w:r w:rsidR="00240023">
              <w:rPr>
                <w:noProof/>
                <w:webHidden/>
              </w:rPr>
              <w:fldChar w:fldCharType="begin"/>
            </w:r>
            <w:r w:rsidR="00240023">
              <w:rPr>
                <w:noProof/>
                <w:webHidden/>
              </w:rPr>
              <w:instrText xml:space="preserve"> PAGEREF _Toc149731095 \h </w:instrText>
            </w:r>
            <w:r w:rsidR="00240023">
              <w:rPr>
                <w:noProof/>
                <w:webHidden/>
              </w:rPr>
            </w:r>
            <w:r w:rsidR="00240023">
              <w:rPr>
                <w:noProof/>
                <w:webHidden/>
              </w:rPr>
              <w:fldChar w:fldCharType="separate"/>
            </w:r>
            <w:r w:rsidR="00C6141B">
              <w:rPr>
                <w:noProof/>
                <w:webHidden/>
              </w:rPr>
              <w:t>10</w:t>
            </w:r>
            <w:r w:rsidR="00240023">
              <w:rPr>
                <w:noProof/>
                <w:webHidden/>
              </w:rPr>
              <w:fldChar w:fldCharType="end"/>
            </w:r>
          </w:hyperlink>
        </w:p>
        <w:p w14:paraId="02A30A08" w14:textId="394E8163" w:rsidR="00240023" w:rsidRDefault="00000000">
          <w:pPr>
            <w:pStyle w:val="TOC2"/>
            <w:rPr>
              <w:rFonts w:asciiTheme="minorHAnsi" w:eastAsiaTheme="minorEastAsia" w:hAnsiTheme="minorHAnsi"/>
              <w:noProof/>
              <w:sz w:val="22"/>
            </w:rPr>
          </w:pPr>
          <w:hyperlink w:anchor="_Toc149731096" w:history="1">
            <w:r w:rsidR="00240023" w:rsidRPr="005D11DB">
              <w:rPr>
                <w:rStyle w:val="Hyperlink"/>
                <w:noProof/>
              </w:rPr>
              <w:t>F.</w:t>
            </w:r>
            <w:r w:rsidR="00240023">
              <w:rPr>
                <w:rFonts w:asciiTheme="minorHAnsi" w:eastAsiaTheme="minorEastAsia" w:hAnsiTheme="minorHAnsi"/>
                <w:noProof/>
                <w:sz w:val="22"/>
              </w:rPr>
              <w:tab/>
            </w:r>
            <w:r w:rsidR="00240023" w:rsidRPr="005D11DB">
              <w:rPr>
                <w:rStyle w:val="Hyperlink"/>
                <w:noProof/>
              </w:rPr>
              <w:t>Streets and Drainage</w:t>
            </w:r>
            <w:r w:rsidR="00240023">
              <w:rPr>
                <w:noProof/>
                <w:webHidden/>
              </w:rPr>
              <w:tab/>
            </w:r>
            <w:r w:rsidR="00240023">
              <w:rPr>
                <w:noProof/>
                <w:webHidden/>
              </w:rPr>
              <w:fldChar w:fldCharType="begin"/>
            </w:r>
            <w:r w:rsidR="00240023">
              <w:rPr>
                <w:noProof/>
                <w:webHidden/>
              </w:rPr>
              <w:instrText xml:space="preserve"> PAGEREF _Toc149731096 \h </w:instrText>
            </w:r>
            <w:r w:rsidR="00240023">
              <w:rPr>
                <w:noProof/>
                <w:webHidden/>
              </w:rPr>
            </w:r>
            <w:r w:rsidR="00240023">
              <w:rPr>
                <w:noProof/>
                <w:webHidden/>
              </w:rPr>
              <w:fldChar w:fldCharType="separate"/>
            </w:r>
            <w:r w:rsidR="00C6141B">
              <w:rPr>
                <w:noProof/>
                <w:webHidden/>
              </w:rPr>
              <w:t>10</w:t>
            </w:r>
            <w:r w:rsidR="00240023">
              <w:rPr>
                <w:noProof/>
                <w:webHidden/>
              </w:rPr>
              <w:fldChar w:fldCharType="end"/>
            </w:r>
          </w:hyperlink>
        </w:p>
        <w:p w14:paraId="43C47A85" w14:textId="43B2A565" w:rsidR="00240023" w:rsidRDefault="00000000">
          <w:pPr>
            <w:pStyle w:val="TOC2"/>
            <w:rPr>
              <w:rFonts w:asciiTheme="minorHAnsi" w:eastAsiaTheme="minorEastAsia" w:hAnsiTheme="minorHAnsi"/>
              <w:noProof/>
              <w:sz w:val="22"/>
            </w:rPr>
          </w:pPr>
          <w:hyperlink w:anchor="_Toc149731097" w:history="1">
            <w:r w:rsidR="00240023" w:rsidRPr="005D11DB">
              <w:rPr>
                <w:rStyle w:val="Hyperlink"/>
                <w:noProof/>
              </w:rPr>
              <w:t>G.</w:t>
            </w:r>
            <w:r w:rsidR="00240023">
              <w:rPr>
                <w:rFonts w:asciiTheme="minorHAnsi" w:eastAsiaTheme="minorEastAsia" w:hAnsiTheme="minorHAnsi"/>
                <w:noProof/>
                <w:sz w:val="22"/>
              </w:rPr>
              <w:tab/>
            </w:r>
            <w:r w:rsidR="00240023" w:rsidRPr="005D11DB">
              <w:rPr>
                <w:rStyle w:val="Hyperlink"/>
                <w:noProof/>
              </w:rPr>
              <w:t>Wetland and Riparian Buffers</w:t>
            </w:r>
            <w:r w:rsidR="00240023">
              <w:rPr>
                <w:noProof/>
                <w:webHidden/>
              </w:rPr>
              <w:tab/>
            </w:r>
            <w:r w:rsidR="00240023">
              <w:rPr>
                <w:noProof/>
                <w:webHidden/>
              </w:rPr>
              <w:fldChar w:fldCharType="begin"/>
            </w:r>
            <w:r w:rsidR="00240023">
              <w:rPr>
                <w:noProof/>
                <w:webHidden/>
              </w:rPr>
              <w:instrText xml:space="preserve"> PAGEREF _Toc149731097 \h </w:instrText>
            </w:r>
            <w:r w:rsidR="00240023">
              <w:rPr>
                <w:noProof/>
                <w:webHidden/>
              </w:rPr>
            </w:r>
            <w:r w:rsidR="00240023">
              <w:rPr>
                <w:noProof/>
                <w:webHidden/>
              </w:rPr>
              <w:fldChar w:fldCharType="separate"/>
            </w:r>
            <w:r w:rsidR="00C6141B">
              <w:rPr>
                <w:noProof/>
                <w:webHidden/>
              </w:rPr>
              <w:t>11</w:t>
            </w:r>
            <w:r w:rsidR="00240023">
              <w:rPr>
                <w:noProof/>
                <w:webHidden/>
              </w:rPr>
              <w:fldChar w:fldCharType="end"/>
            </w:r>
          </w:hyperlink>
        </w:p>
        <w:p w14:paraId="639D2133" w14:textId="423E26C7" w:rsidR="00240023" w:rsidRDefault="00000000">
          <w:pPr>
            <w:pStyle w:val="TOC2"/>
            <w:rPr>
              <w:rFonts w:asciiTheme="minorHAnsi" w:eastAsiaTheme="minorEastAsia" w:hAnsiTheme="minorHAnsi"/>
              <w:noProof/>
              <w:sz w:val="22"/>
            </w:rPr>
          </w:pPr>
          <w:hyperlink w:anchor="_Toc149731098" w:history="1">
            <w:r w:rsidR="00240023" w:rsidRPr="005D11DB">
              <w:rPr>
                <w:rStyle w:val="Hyperlink"/>
                <w:noProof/>
              </w:rPr>
              <w:t>H.</w:t>
            </w:r>
            <w:r w:rsidR="00240023">
              <w:rPr>
                <w:rFonts w:asciiTheme="minorHAnsi" w:eastAsiaTheme="minorEastAsia" w:hAnsiTheme="minorHAnsi"/>
                <w:noProof/>
                <w:sz w:val="22"/>
              </w:rPr>
              <w:tab/>
            </w:r>
            <w:r w:rsidR="00240023" w:rsidRPr="005D11DB">
              <w:rPr>
                <w:rStyle w:val="Hyperlink"/>
                <w:noProof/>
              </w:rPr>
              <w:t>Building Materials</w:t>
            </w:r>
            <w:r w:rsidR="00240023">
              <w:rPr>
                <w:noProof/>
                <w:webHidden/>
              </w:rPr>
              <w:tab/>
            </w:r>
            <w:r w:rsidR="00240023">
              <w:rPr>
                <w:noProof/>
                <w:webHidden/>
              </w:rPr>
              <w:fldChar w:fldCharType="begin"/>
            </w:r>
            <w:r w:rsidR="00240023">
              <w:rPr>
                <w:noProof/>
                <w:webHidden/>
              </w:rPr>
              <w:instrText xml:space="preserve"> PAGEREF _Toc149731098 \h </w:instrText>
            </w:r>
            <w:r w:rsidR="00240023">
              <w:rPr>
                <w:noProof/>
                <w:webHidden/>
              </w:rPr>
            </w:r>
            <w:r w:rsidR="00240023">
              <w:rPr>
                <w:noProof/>
                <w:webHidden/>
              </w:rPr>
              <w:fldChar w:fldCharType="separate"/>
            </w:r>
            <w:r w:rsidR="00C6141B">
              <w:rPr>
                <w:noProof/>
                <w:webHidden/>
              </w:rPr>
              <w:t>11</w:t>
            </w:r>
            <w:r w:rsidR="00240023">
              <w:rPr>
                <w:noProof/>
                <w:webHidden/>
              </w:rPr>
              <w:fldChar w:fldCharType="end"/>
            </w:r>
          </w:hyperlink>
        </w:p>
        <w:p w14:paraId="1E0F8D0D" w14:textId="0B8FF793" w:rsidR="00240023" w:rsidRDefault="00000000">
          <w:pPr>
            <w:pStyle w:val="TOC2"/>
            <w:rPr>
              <w:rFonts w:asciiTheme="minorHAnsi" w:eastAsiaTheme="minorEastAsia" w:hAnsiTheme="minorHAnsi"/>
              <w:noProof/>
              <w:sz w:val="22"/>
            </w:rPr>
          </w:pPr>
          <w:hyperlink w:anchor="_Toc149731099" w:history="1">
            <w:r w:rsidR="00240023" w:rsidRPr="005D11DB">
              <w:rPr>
                <w:rStyle w:val="Hyperlink"/>
                <w:noProof/>
              </w:rPr>
              <w:t>I.</w:t>
            </w:r>
            <w:r w:rsidR="00240023">
              <w:rPr>
                <w:rFonts w:asciiTheme="minorHAnsi" w:eastAsiaTheme="minorEastAsia" w:hAnsiTheme="minorHAnsi"/>
                <w:noProof/>
                <w:sz w:val="22"/>
              </w:rPr>
              <w:tab/>
            </w:r>
            <w:r w:rsidR="00240023" w:rsidRPr="005D11DB">
              <w:rPr>
                <w:rStyle w:val="Hyperlink"/>
                <w:noProof/>
              </w:rPr>
              <w:t>Utilities and Lighting</w:t>
            </w:r>
            <w:r w:rsidR="00240023">
              <w:rPr>
                <w:noProof/>
                <w:webHidden/>
              </w:rPr>
              <w:tab/>
            </w:r>
            <w:r w:rsidR="00240023">
              <w:rPr>
                <w:noProof/>
                <w:webHidden/>
              </w:rPr>
              <w:fldChar w:fldCharType="begin"/>
            </w:r>
            <w:r w:rsidR="00240023">
              <w:rPr>
                <w:noProof/>
                <w:webHidden/>
              </w:rPr>
              <w:instrText xml:space="preserve"> PAGEREF _Toc149731099 \h </w:instrText>
            </w:r>
            <w:r w:rsidR="00240023">
              <w:rPr>
                <w:noProof/>
                <w:webHidden/>
              </w:rPr>
            </w:r>
            <w:r w:rsidR="00240023">
              <w:rPr>
                <w:noProof/>
                <w:webHidden/>
              </w:rPr>
              <w:fldChar w:fldCharType="separate"/>
            </w:r>
            <w:r w:rsidR="00C6141B">
              <w:rPr>
                <w:noProof/>
                <w:webHidden/>
              </w:rPr>
              <w:t>11</w:t>
            </w:r>
            <w:r w:rsidR="00240023">
              <w:rPr>
                <w:noProof/>
                <w:webHidden/>
              </w:rPr>
              <w:fldChar w:fldCharType="end"/>
            </w:r>
          </w:hyperlink>
        </w:p>
        <w:p w14:paraId="55A2F84C" w14:textId="440B7313" w:rsidR="00240023" w:rsidRDefault="00000000">
          <w:pPr>
            <w:pStyle w:val="TOC2"/>
            <w:rPr>
              <w:rFonts w:asciiTheme="minorHAnsi" w:eastAsiaTheme="minorEastAsia" w:hAnsiTheme="minorHAnsi"/>
              <w:noProof/>
              <w:sz w:val="22"/>
            </w:rPr>
          </w:pPr>
          <w:hyperlink w:anchor="_Toc149731100" w:history="1">
            <w:r w:rsidR="00240023" w:rsidRPr="005D11DB">
              <w:rPr>
                <w:rStyle w:val="Hyperlink"/>
                <w:noProof/>
              </w:rPr>
              <w:t>J.</w:t>
            </w:r>
            <w:r w:rsidR="00240023">
              <w:rPr>
                <w:rFonts w:asciiTheme="minorHAnsi" w:eastAsiaTheme="minorEastAsia" w:hAnsiTheme="minorHAnsi"/>
                <w:noProof/>
                <w:sz w:val="22"/>
              </w:rPr>
              <w:tab/>
            </w:r>
            <w:r w:rsidR="00240023" w:rsidRPr="005D11DB">
              <w:rPr>
                <w:rStyle w:val="Hyperlink"/>
                <w:noProof/>
              </w:rPr>
              <w:t>Off-Street Parking</w:t>
            </w:r>
            <w:r w:rsidR="00240023">
              <w:rPr>
                <w:noProof/>
                <w:webHidden/>
              </w:rPr>
              <w:tab/>
            </w:r>
            <w:r w:rsidR="00240023">
              <w:rPr>
                <w:noProof/>
                <w:webHidden/>
              </w:rPr>
              <w:fldChar w:fldCharType="begin"/>
            </w:r>
            <w:r w:rsidR="00240023">
              <w:rPr>
                <w:noProof/>
                <w:webHidden/>
              </w:rPr>
              <w:instrText xml:space="preserve"> PAGEREF _Toc149731100 \h </w:instrText>
            </w:r>
            <w:r w:rsidR="00240023">
              <w:rPr>
                <w:noProof/>
                <w:webHidden/>
              </w:rPr>
            </w:r>
            <w:r w:rsidR="00240023">
              <w:rPr>
                <w:noProof/>
                <w:webHidden/>
              </w:rPr>
              <w:fldChar w:fldCharType="separate"/>
            </w:r>
            <w:r w:rsidR="00C6141B">
              <w:rPr>
                <w:noProof/>
                <w:webHidden/>
              </w:rPr>
              <w:t>11</w:t>
            </w:r>
            <w:r w:rsidR="00240023">
              <w:rPr>
                <w:noProof/>
                <w:webHidden/>
              </w:rPr>
              <w:fldChar w:fldCharType="end"/>
            </w:r>
          </w:hyperlink>
        </w:p>
        <w:p w14:paraId="681C6DDF" w14:textId="733E5368" w:rsidR="00240023" w:rsidRDefault="00000000">
          <w:pPr>
            <w:pStyle w:val="TOC2"/>
            <w:rPr>
              <w:rFonts w:asciiTheme="minorHAnsi" w:eastAsiaTheme="minorEastAsia" w:hAnsiTheme="minorHAnsi"/>
              <w:noProof/>
              <w:sz w:val="22"/>
            </w:rPr>
          </w:pPr>
          <w:hyperlink w:anchor="_Toc149731101" w:history="1">
            <w:r w:rsidR="00240023" w:rsidRPr="005D11DB">
              <w:rPr>
                <w:rStyle w:val="Hyperlink"/>
                <w:noProof/>
              </w:rPr>
              <w:t>K.</w:t>
            </w:r>
            <w:r w:rsidR="00240023">
              <w:rPr>
                <w:rFonts w:asciiTheme="minorHAnsi" w:eastAsiaTheme="minorEastAsia" w:hAnsiTheme="minorHAnsi"/>
                <w:noProof/>
                <w:sz w:val="22"/>
              </w:rPr>
              <w:tab/>
            </w:r>
            <w:r w:rsidR="00240023" w:rsidRPr="005D11DB">
              <w:rPr>
                <w:rStyle w:val="Hyperlink"/>
                <w:noProof/>
              </w:rPr>
              <w:t>Stormwater Drainage Basin Study</w:t>
            </w:r>
            <w:r w:rsidR="00240023">
              <w:rPr>
                <w:noProof/>
                <w:webHidden/>
              </w:rPr>
              <w:tab/>
            </w:r>
            <w:r w:rsidR="00240023">
              <w:rPr>
                <w:noProof/>
                <w:webHidden/>
              </w:rPr>
              <w:fldChar w:fldCharType="begin"/>
            </w:r>
            <w:r w:rsidR="00240023">
              <w:rPr>
                <w:noProof/>
                <w:webHidden/>
              </w:rPr>
              <w:instrText xml:space="preserve"> PAGEREF _Toc149731101 \h </w:instrText>
            </w:r>
            <w:r w:rsidR="00240023">
              <w:rPr>
                <w:noProof/>
                <w:webHidden/>
              </w:rPr>
            </w:r>
            <w:r w:rsidR="00240023">
              <w:rPr>
                <w:noProof/>
                <w:webHidden/>
              </w:rPr>
              <w:fldChar w:fldCharType="separate"/>
            </w:r>
            <w:r w:rsidR="00C6141B">
              <w:rPr>
                <w:noProof/>
                <w:webHidden/>
              </w:rPr>
              <w:t>11</w:t>
            </w:r>
            <w:r w:rsidR="00240023">
              <w:rPr>
                <w:noProof/>
                <w:webHidden/>
              </w:rPr>
              <w:fldChar w:fldCharType="end"/>
            </w:r>
          </w:hyperlink>
        </w:p>
        <w:p w14:paraId="25B0044A" w14:textId="1DA9CF94" w:rsidR="00240023" w:rsidRDefault="00000000">
          <w:pPr>
            <w:pStyle w:val="TOC2"/>
            <w:rPr>
              <w:rFonts w:asciiTheme="minorHAnsi" w:eastAsiaTheme="minorEastAsia" w:hAnsiTheme="minorHAnsi"/>
              <w:noProof/>
              <w:sz w:val="22"/>
            </w:rPr>
          </w:pPr>
          <w:hyperlink w:anchor="_Toc149731102" w:history="1">
            <w:r w:rsidR="00240023" w:rsidRPr="005D11DB">
              <w:rPr>
                <w:rStyle w:val="Hyperlink"/>
                <w:noProof/>
              </w:rPr>
              <w:t>L.</w:t>
            </w:r>
            <w:r w:rsidR="00240023">
              <w:rPr>
                <w:rFonts w:asciiTheme="minorHAnsi" w:eastAsiaTheme="minorEastAsia" w:hAnsiTheme="minorHAnsi"/>
                <w:noProof/>
                <w:sz w:val="22"/>
              </w:rPr>
              <w:tab/>
            </w:r>
            <w:r w:rsidR="00240023" w:rsidRPr="005D11DB">
              <w:rPr>
                <w:rStyle w:val="Hyperlink"/>
                <w:noProof/>
              </w:rPr>
              <w:t>sanitary Sewer and Domestic Water Utility Plan</w:t>
            </w:r>
            <w:r w:rsidR="00240023">
              <w:rPr>
                <w:noProof/>
                <w:webHidden/>
              </w:rPr>
              <w:tab/>
            </w:r>
            <w:r w:rsidR="00240023">
              <w:rPr>
                <w:noProof/>
                <w:webHidden/>
              </w:rPr>
              <w:fldChar w:fldCharType="begin"/>
            </w:r>
            <w:r w:rsidR="00240023">
              <w:rPr>
                <w:noProof/>
                <w:webHidden/>
              </w:rPr>
              <w:instrText xml:space="preserve"> PAGEREF _Toc149731102 \h </w:instrText>
            </w:r>
            <w:r w:rsidR="00240023">
              <w:rPr>
                <w:noProof/>
                <w:webHidden/>
              </w:rPr>
            </w:r>
            <w:r w:rsidR="00240023">
              <w:rPr>
                <w:noProof/>
                <w:webHidden/>
              </w:rPr>
              <w:fldChar w:fldCharType="separate"/>
            </w:r>
            <w:r w:rsidR="00C6141B">
              <w:rPr>
                <w:noProof/>
                <w:webHidden/>
              </w:rPr>
              <w:t>11</w:t>
            </w:r>
            <w:r w:rsidR="00240023">
              <w:rPr>
                <w:noProof/>
                <w:webHidden/>
              </w:rPr>
              <w:fldChar w:fldCharType="end"/>
            </w:r>
          </w:hyperlink>
        </w:p>
        <w:p w14:paraId="7F78C7EA" w14:textId="6CA16385" w:rsidR="007369BB" w:rsidRDefault="00E070A2" w:rsidP="001A3ED7">
          <w:pPr>
            <w:spacing w:line="276" w:lineRule="auto"/>
            <w:contextualSpacing/>
            <w:rPr>
              <w:rFonts w:ascii="Tenorite" w:hAnsi="Tenorite"/>
              <w:b/>
              <w:bCs/>
              <w:sz w:val="28"/>
              <w:szCs w:val="28"/>
            </w:rPr>
          </w:pPr>
          <w:r>
            <w:rPr>
              <w:b/>
              <w:bCs/>
              <w:noProof/>
            </w:rPr>
            <w:fldChar w:fldCharType="end"/>
          </w:r>
        </w:p>
      </w:sdtContent>
    </w:sdt>
    <w:p w14:paraId="03A92E3B" w14:textId="77777777" w:rsidR="00421793" w:rsidRDefault="00421793" w:rsidP="001A3ED7">
      <w:pPr>
        <w:spacing w:line="276" w:lineRule="auto"/>
        <w:contextualSpacing/>
        <w:rPr>
          <w:rFonts w:ascii="Tenorite" w:hAnsi="Tenorite"/>
          <w:b/>
          <w:bCs/>
          <w:color w:val="006072"/>
          <w:sz w:val="28"/>
          <w:szCs w:val="28"/>
        </w:rPr>
      </w:pPr>
    </w:p>
    <w:p w14:paraId="3F103EE0" w14:textId="77777777" w:rsidR="00421793" w:rsidRDefault="00421793" w:rsidP="001A3ED7">
      <w:pPr>
        <w:spacing w:line="276" w:lineRule="auto"/>
        <w:contextualSpacing/>
        <w:rPr>
          <w:rFonts w:ascii="Tenorite" w:hAnsi="Tenorite"/>
          <w:b/>
          <w:bCs/>
          <w:color w:val="006072"/>
          <w:sz w:val="28"/>
          <w:szCs w:val="28"/>
        </w:rPr>
      </w:pPr>
    </w:p>
    <w:p w14:paraId="248C3766" w14:textId="77777777" w:rsidR="00421793" w:rsidRDefault="00421793" w:rsidP="001A3ED7">
      <w:pPr>
        <w:spacing w:line="276" w:lineRule="auto"/>
        <w:contextualSpacing/>
        <w:rPr>
          <w:rFonts w:ascii="Tenorite" w:hAnsi="Tenorite"/>
          <w:b/>
          <w:bCs/>
          <w:color w:val="006072"/>
          <w:sz w:val="28"/>
          <w:szCs w:val="28"/>
        </w:rPr>
      </w:pPr>
    </w:p>
    <w:p w14:paraId="4FE52626" w14:textId="6D48FFDA" w:rsidR="00D861B8" w:rsidRPr="00742E76" w:rsidRDefault="007369BB" w:rsidP="001A3ED7">
      <w:pPr>
        <w:spacing w:line="276" w:lineRule="auto"/>
        <w:contextualSpacing/>
        <w:rPr>
          <w:rFonts w:ascii="Tenorite" w:hAnsi="Tenorite"/>
          <w:b/>
          <w:bCs/>
          <w:color w:val="006072"/>
          <w:sz w:val="28"/>
          <w:szCs w:val="28"/>
        </w:rPr>
      </w:pPr>
      <w:r w:rsidRPr="00742E76">
        <w:rPr>
          <w:rFonts w:ascii="Tenorite" w:hAnsi="Tenorite"/>
          <w:b/>
          <w:bCs/>
          <w:color w:val="006072"/>
          <w:sz w:val="28"/>
          <w:szCs w:val="28"/>
        </w:rPr>
        <w:lastRenderedPageBreak/>
        <w:t>APPENDICES</w:t>
      </w:r>
    </w:p>
    <w:p w14:paraId="52C97049" w14:textId="6FF09603" w:rsidR="00AB0D89" w:rsidRDefault="00AB0D89"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Appendix 1: Existing Features</w:t>
      </w:r>
      <w:r w:rsidR="00EC7D33">
        <w:rPr>
          <w:rFonts w:ascii="Arial" w:hAnsi="Arial" w:cs="Arial"/>
          <w:sz w:val="20"/>
          <w:szCs w:val="20"/>
        </w:rPr>
        <w:t xml:space="preserve"> &amp; Zoning</w:t>
      </w:r>
    </w:p>
    <w:p w14:paraId="43462513" w14:textId="09B82156" w:rsidR="00AB0D89" w:rsidRDefault="00AB0D89"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w:t>
      </w:r>
      <w:r w:rsidR="00EC7D33">
        <w:rPr>
          <w:rFonts w:ascii="Arial" w:hAnsi="Arial" w:cs="Arial"/>
          <w:sz w:val="20"/>
          <w:szCs w:val="20"/>
        </w:rPr>
        <w:t>2</w:t>
      </w:r>
      <w:r>
        <w:rPr>
          <w:rFonts w:ascii="Arial" w:hAnsi="Arial" w:cs="Arial"/>
          <w:sz w:val="20"/>
          <w:szCs w:val="20"/>
        </w:rPr>
        <w:t xml:space="preserve">: </w:t>
      </w:r>
      <w:r w:rsidR="00006DCD">
        <w:rPr>
          <w:rFonts w:ascii="Arial" w:hAnsi="Arial" w:cs="Arial"/>
          <w:sz w:val="20"/>
          <w:szCs w:val="20"/>
        </w:rPr>
        <w:t>Wetlands</w:t>
      </w:r>
    </w:p>
    <w:p w14:paraId="75093054" w14:textId="1E205923" w:rsidR="00AB0D89" w:rsidRDefault="00AB0D89"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w:t>
      </w:r>
      <w:r w:rsidR="00EC7D33">
        <w:rPr>
          <w:rFonts w:ascii="Arial" w:hAnsi="Arial" w:cs="Arial"/>
          <w:sz w:val="20"/>
          <w:szCs w:val="20"/>
        </w:rPr>
        <w:t>3</w:t>
      </w:r>
      <w:r>
        <w:rPr>
          <w:rFonts w:ascii="Arial" w:hAnsi="Arial" w:cs="Arial"/>
          <w:sz w:val="20"/>
          <w:szCs w:val="20"/>
        </w:rPr>
        <w:t xml:space="preserve">: </w:t>
      </w:r>
      <w:r w:rsidR="00006DCD">
        <w:rPr>
          <w:rFonts w:ascii="Arial" w:hAnsi="Arial" w:cs="Arial"/>
          <w:sz w:val="20"/>
          <w:szCs w:val="20"/>
        </w:rPr>
        <w:t>Landfill Information</w:t>
      </w:r>
    </w:p>
    <w:p w14:paraId="3478698C" w14:textId="5C180228" w:rsidR="00001971" w:rsidRDefault="00001971"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w:t>
      </w:r>
      <w:r w:rsidR="00EC7D33">
        <w:rPr>
          <w:rFonts w:ascii="Arial" w:hAnsi="Arial" w:cs="Arial"/>
          <w:sz w:val="20"/>
          <w:szCs w:val="20"/>
        </w:rPr>
        <w:t>4</w:t>
      </w:r>
      <w:r>
        <w:rPr>
          <w:rFonts w:ascii="Arial" w:hAnsi="Arial" w:cs="Arial"/>
          <w:sz w:val="20"/>
          <w:szCs w:val="20"/>
        </w:rPr>
        <w:t xml:space="preserve">: </w:t>
      </w:r>
      <w:r w:rsidR="00006DCD">
        <w:rPr>
          <w:rFonts w:ascii="Arial" w:hAnsi="Arial" w:cs="Arial"/>
          <w:sz w:val="20"/>
          <w:szCs w:val="20"/>
        </w:rPr>
        <w:t>Covenants &amp; Restrictions</w:t>
      </w:r>
    </w:p>
    <w:p w14:paraId="5502DB55" w14:textId="21F3490B" w:rsidR="00374C6E" w:rsidRDefault="00AB0D89"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w:t>
      </w:r>
      <w:r w:rsidR="00EC7D33">
        <w:rPr>
          <w:rFonts w:ascii="Arial" w:hAnsi="Arial" w:cs="Arial"/>
          <w:sz w:val="20"/>
          <w:szCs w:val="20"/>
        </w:rPr>
        <w:t>5</w:t>
      </w:r>
      <w:r>
        <w:rPr>
          <w:rFonts w:ascii="Arial" w:hAnsi="Arial" w:cs="Arial"/>
          <w:sz w:val="20"/>
          <w:szCs w:val="20"/>
        </w:rPr>
        <w:t xml:space="preserve">: </w:t>
      </w:r>
      <w:r w:rsidR="00006DCD">
        <w:rPr>
          <w:rFonts w:ascii="Arial" w:hAnsi="Arial" w:cs="Arial"/>
          <w:sz w:val="20"/>
          <w:szCs w:val="20"/>
        </w:rPr>
        <w:t>Conceptual Site Plan</w:t>
      </w:r>
    </w:p>
    <w:p w14:paraId="7C8FEBF7" w14:textId="6DEE565C" w:rsidR="00AB0D89" w:rsidRDefault="00374C6E"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6: </w:t>
      </w:r>
      <w:r w:rsidR="00006DCD">
        <w:rPr>
          <w:rFonts w:ascii="Arial" w:hAnsi="Arial" w:cs="Arial"/>
          <w:sz w:val="20"/>
          <w:szCs w:val="20"/>
        </w:rPr>
        <w:t>Buffers</w:t>
      </w:r>
    </w:p>
    <w:p w14:paraId="6C07AB67" w14:textId="030178A1" w:rsidR="00E86926" w:rsidRDefault="00E86926"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7: </w:t>
      </w:r>
      <w:r w:rsidR="00006DCD">
        <w:rPr>
          <w:rFonts w:ascii="Arial" w:hAnsi="Arial" w:cs="Arial"/>
          <w:sz w:val="20"/>
          <w:szCs w:val="20"/>
        </w:rPr>
        <w:t>Private Roadway Typical Section</w:t>
      </w:r>
    </w:p>
    <w:p w14:paraId="385C60D6" w14:textId="4224EB66" w:rsidR="00AB0D89" w:rsidRDefault="00AB0D89"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w:t>
      </w:r>
      <w:r w:rsidR="00E86926">
        <w:rPr>
          <w:rFonts w:ascii="Arial" w:hAnsi="Arial" w:cs="Arial"/>
          <w:sz w:val="20"/>
          <w:szCs w:val="20"/>
        </w:rPr>
        <w:t>8</w:t>
      </w:r>
      <w:r>
        <w:rPr>
          <w:rFonts w:ascii="Arial" w:hAnsi="Arial" w:cs="Arial"/>
          <w:sz w:val="20"/>
          <w:szCs w:val="20"/>
        </w:rPr>
        <w:t xml:space="preserve">: </w:t>
      </w:r>
      <w:r w:rsidR="00006DCD">
        <w:rPr>
          <w:rFonts w:ascii="Arial" w:hAnsi="Arial" w:cs="Arial"/>
          <w:sz w:val="20"/>
          <w:szCs w:val="20"/>
        </w:rPr>
        <w:t>Building Materials</w:t>
      </w:r>
    </w:p>
    <w:p w14:paraId="4AFBC031" w14:textId="09B69ED5" w:rsidR="00AB0D89" w:rsidRDefault="00AB0D89" w:rsidP="00006DCD">
      <w:pPr>
        <w:pStyle w:val="NormalWeb"/>
        <w:spacing w:before="0" w:beforeAutospacing="0" w:after="160" w:afterAutospacing="0" w:line="360" w:lineRule="auto"/>
        <w:contextualSpacing/>
        <w:rPr>
          <w:rFonts w:ascii="Arial" w:hAnsi="Arial" w:cs="Arial"/>
          <w:sz w:val="20"/>
          <w:szCs w:val="20"/>
        </w:rPr>
      </w:pPr>
      <w:r>
        <w:rPr>
          <w:rFonts w:ascii="Arial" w:hAnsi="Arial" w:cs="Arial"/>
          <w:sz w:val="20"/>
          <w:szCs w:val="20"/>
        </w:rPr>
        <w:t xml:space="preserve">Appendix </w:t>
      </w:r>
      <w:r w:rsidR="00E86926">
        <w:rPr>
          <w:rFonts w:ascii="Arial" w:hAnsi="Arial" w:cs="Arial"/>
          <w:sz w:val="20"/>
          <w:szCs w:val="20"/>
        </w:rPr>
        <w:t>9</w:t>
      </w:r>
      <w:r>
        <w:rPr>
          <w:rFonts w:ascii="Arial" w:hAnsi="Arial" w:cs="Arial"/>
          <w:sz w:val="20"/>
          <w:szCs w:val="20"/>
        </w:rPr>
        <w:t xml:space="preserve">: </w:t>
      </w:r>
      <w:r w:rsidR="001A0CC9">
        <w:rPr>
          <w:rFonts w:ascii="Arial" w:hAnsi="Arial" w:cs="Arial"/>
          <w:sz w:val="20"/>
          <w:szCs w:val="20"/>
        </w:rPr>
        <w:t>Utility Letters</w:t>
      </w:r>
    </w:p>
    <w:p w14:paraId="62640C86" w14:textId="73FC2F44" w:rsidR="00A16C64" w:rsidRDefault="001E24E1" w:rsidP="001A0CC9">
      <w:pPr>
        <w:pStyle w:val="Heading1"/>
        <w:numPr>
          <w:ilvl w:val="0"/>
          <w:numId w:val="0"/>
        </w:numPr>
        <w:spacing w:line="276" w:lineRule="auto"/>
        <w:ind w:left="360" w:hanging="360"/>
        <w:contextualSpacing/>
      </w:pPr>
      <w:r>
        <w:br w:type="page"/>
      </w:r>
      <w:bookmarkStart w:id="1" w:name="_Toc149731072"/>
      <w:r>
        <w:lastRenderedPageBreak/>
        <w:t>Planned Development District Requirements</w:t>
      </w:r>
      <w:bookmarkEnd w:id="1"/>
    </w:p>
    <w:p w14:paraId="7149B076" w14:textId="55B7E118" w:rsidR="00A955E8" w:rsidRDefault="00A955E8" w:rsidP="00240023">
      <w:pPr>
        <w:spacing w:line="276" w:lineRule="auto"/>
        <w:contextualSpacing/>
      </w:pPr>
      <w:r>
        <w:t>The property which is subject to these requirements (“</w:t>
      </w:r>
      <w:r w:rsidR="00211282">
        <w:t>Ancrum Development</w:t>
      </w:r>
      <w:r>
        <w:t xml:space="preserve">”) consists of </w:t>
      </w:r>
      <w:r w:rsidR="00A64748">
        <w:t>two</w:t>
      </w:r>
      <w:r w:rsidR="00680AD9">
        <w:t xml:space="preserve"> (</w:t>
      </w:r>
      <w:r w:rsidR="00A64748">
        <w:t>2</w:t>
      </w:r>
      <w:r w:rsidR="00680AD9">
        <w:t xml:space="preserve">) parcels </w:t>
      </w:r>
      <w:r w:rsidR="003866A6">
        <w:t>totaling</w:t>
      </w:r>
      <w:r w:rsidR="00680AD9">
        <w:t xml:space="preserve"> </w:t>
      </w:r>
      <w:r w:rsidR="001804D9">
        <w:t xml:space="preserve">approximately </w:t>
      </w:r>
      <w:r w:rsidR="00695746">
        <w:t>50.6</w:t>
      </w:r>
      <w:r>
        <w:t xml:space="preserve"> acres. </w:t>
      </w:r>
      <w:r w:rsidR="00BD386F">
        <w:t>To support and enhance the City’s continued economic growth, the PDD propose</w:t>
      </w:r>
      <w:r w:rsidR="005D446E">
        <w:t>s</w:t>
      </w:r>
      <w:r w:rsidR="00BD386F">
        <w:t xml:space="preserve"> to establish a mix of uses including commercial and industrial facilities. PDD zoning is best suited to maximize flexibility and efficiency in planning and design while meeting the unique development goals and environmental constraints that currently exist on the </w:t>
      </w:r>
      <w:r w:rsidR="00211282">
        <w:t>p</w:t>
      </w:r>
      <w:r w:rsidR="00BD386F">
        <w:t xml:space="preserve">roperty. </w:t>
      </w:r>
    </w:p>
    <w:p w14:paraId="3759831F" w14:textId="77777777" w:rsidR="00BD386F" w:rsidRDefault="00BD386F" w:rsidP="00240023">
      <w:pPr>
        <w:spacing w:line="276" w:lineRule="auto"/>
        <w:contextualSpacing/>
      </w:pPr>
    </w:p>
    <w:p w14:paraId="52A36557" w14:textId="2054FF51" w:rsidR="00BD386F" w:rsidRDefault="00CD5E7D" w:rsidP="00240023">
      <w:pPr>
        <w:spacing w:line="276" w:lineRule="auto"/>
        <w:contextualSpacing/>
      </w:pPr>
      <w:r>
        <w:t>T</w:t>
      </w:r>
      <w:r w:rsidR="00BD386F" w:rsidRPr="00BD386F">
        <w:t>his document is intended to create a framework to encourage flexibility in the development of land to promote its most appropriate use; to improve the design, character, and quality of new development; to facilitate the adequate and economical provision of streets and utilities; and to preserve natural areas.</w:t>
      </w:r>
    </w:p>
    <w:p w14:paraId="434BFF75" w14:textId="77777777" w:rsidR="007D0FA9" w:rsidRPr="00A955E8" w:rsidRDefault="007D0FA9" w:rsidP="001A3ED7">
      <w:pPr>
        <w:spacing w:line="276" w:lineRule="auto"/>
        <w:contextualSpacing/>
      </w:pPr>
    </w:p>
    <w:p w14:paraId="685F6FF9" w14:textId="5E3B06B8" w:rsidR="00A16C64" w:rsidRPr="001E24E1" w:rsidRDefault="001E24E1" w:rsidP="001A3ED7">
      <w:pPr>
        <w:pStyle w:val="Heading2"/>
        <w:spacing w:line="276" w:lineRule="auto"/>
        <w:contextualSpacing/>
      </w:pPr>
      <w:bookmarkStart w:id="2" w:name="_Toc149731073"/>
      <w:r w:rsidRPr="001E24E1">
        <w:t>Project Identification</w:t>
      </w:r>
      <w:bookmarkEnd w:id="2"/>
      <w:r w:rsidRPr="001E24E1">
        <w:t xml:space="preserve"> </w:t>
      </w:r>
    </w:p>
    <w:p w14:paraId="41035AFE" w14:textId="77777777" w:rsidR="00BD386F" w:rsidRPr="00BD386F" w:rsidRDefault="00BD386F" w:rsidP="001A3ED7">
      <w:pPr>
        <w:spacing w:line="276" w:lineRule="auto"/>
        <w:contextualSpacing/>
      </w:pPr>
    </w:p>
    <w:p w14:paraId="4AD5B0C1" w14:textId="19DD2546" w:rsidR="007D0FA9" w:rsidRDefault="007D0FA9" w:rsidP="001A3ED7">
      <w:pPr>
        <w:spacing w:line="276" w:lineRule="auto"/>
        <w:ind w:left="360"/>
        <w:contextualSpacing/>
      </w:pPr>
      <w:r w:rsidRPr="00BD386F">
        <w:rPr>
          <w:b/>
          <w:bCs/>
        </w:rPr>
        <w:t>Name of Development:</w:t>
      </w:r>
      <w:r w:rsidR="00BD386F">
        <w:tab/>
        <w:t>Ancrum</w:t>
      </w:r>
      <w:r w:rsidR="005D446E">
        <w:t xml:space="preserve"> Development</w:t>
      </w:r>
    </w:p>
    <w:p w14:paraId="60B05415" w14:textId="77777777" w:rsidR="00BD386F" w:rsidRDefault="00BD386F" w:rsidP="001A3ED7">
      <w:pPr>
        <w:spacing w:line="276" w:lineRule="auto"/>
        <w:ind w:left="360"/>
        <w:contextualSpacing/>
      </w:pPr>
    </w:p>
    <w:p w14:paraId="129207D7" w14:textId="52877EEC" w:rsidR="007D0FA9" w:rsidRDefault="007D0FA9" w:rsidP="001A3ED7">
      <w:pPr>
        <w:spacing w:line="276" w:lineRule="auto"/>
        <w:ind w:left="360"/>
        <w:contextualSpacing/>
      </w:pPr>
      <w:r w:rsidRPr="00BD386F">
        <w:rPr>
          <w:b/>
          <w:bCs/>
        </w:rPr>
        <w:t>Applicant:</w:t>
      </w:r>
      <w:r w:rsidR="00BD386F" w:rsidRPr="00BD386F">
        <w:rPr>
          <w:b/>
          <w:bCs/>
        </w:rPr>
        <w:tab/>
      </w:r>
      <w:r w:rsidR="00BD386F">
        <w:tab/>
      </w:r>
      <w:r w:rsidR="00BD386F">
        <w:tab/>
        <w:t>Ancrum Propco, LLC</w:t>
      </w:r>
    </w:p>
    <w:p w14:paraId="1673ECCB" w14:textId="6C72256D" w:rsidR="00BD386F" w:rsidRDefault="00BD386F" w:rsidP="001A3ED7">
      <w:pPr>
        <w:spacing w:line="276" w:lineRule="auto"/>
        <w:ind w:left="360"/>
        <w:contextualSpacing/>
      </w:pPr>
      <w:r>
        <w:tab/>
      </w:r>
      <w:r>
        <w:tab/>
      </w:r>
      <w:r>
        <w:tab/>
      </w:r>
      <w:r>
        <w:tab/>
        <w:t>2077 Somerville Road, Suite 206</w:t>
      </w:r>
    </w:p>
    <w:p w14:paraId="07AB8BFC" w14:textId="611D87DC" w:rsidR="00BD386F" w:rsidRDefault="00BD386F" w:rsidP="001A3ED7">
      <w:pPr>
        <w:spacing w:line="276" w:lineRule="auto"/>
        <w:ind w:left="360"/>
        <w:contextualSpacing/>
      </w:pPr>
      <w:r>
        <w:tab/>
      </w:r>
      <w:r>
        <w:tab/>
      </w:r>
      <w:r>
        <w:tab/>
      </w:r>
      <w:r>
        <w:tab/>
        <w:t>Annapolis, MD 21401</w:t>
      </w:r>
    </w:p>
    <w:p w14:paraId="55B55F85" w14:textId="1350BEF5" w:rsidR="00BD386F" w:rsidRDefault="00BD386F" w:rsidP="001A3ED7">
      <w:pPr>
        <w:spacing w:line="276" w:lineRule="auto"/>
        <w:ind w:left="360"/>
        <w:contextualSpacing/>
      </w:pPr>
      <w:r>
        <w:tab/>
      </w:r>
      <w:r>
        <w:tab/>
      </w:r>
      <w:r>
        <w:tab/>
      </w:r>
      <w:r>
        <w:tab/>
        <w:t>(410) 266-5100</w:t>
      </w:r>
    </w:p>
    <w:p w14:paraId="1425F568" w14:textId="77777777" w:rsidR="00BD386F" w:rsidRDefault="00BD386F" w:rsidP="001A3ED7">
      <w:pPr>
        <w:spacing w:line="276" w:lineRule="auto"/>
        <w:ind w:left="360"/>
        <w:contextualSpacing/>
      </w:pPr>
    </w:p>
    <w:p w14:paraId="7B5CA53A" w14:textId="49F430ED" w:rsidR="007D0FA9" w:rsidRDefault="007D0FA9" w:rsidP="001A3ED7">
      <w:pPr>
        <w:spacing w:line="276" w:lineRule="auto"/>
        <w:ind w:left="360"/>
        <w:contextualSpacing/>
      </w:pPr>
      <w:r w:rsidRPr="00BD386F">
        <w:rPr>
          <w:b/>
          <w:bCs/>
        </w:rPr>
        <w:t xml:space="preserve">Engineer: </w:t>
      </w:r>
      <w:r w:rsidR="00BD386F" w:rsidRPr="00BD386F">
        <w:rPr>
          <w:b/>
          <w:bCs/>
        </w:rPr>
        <w:tab/>
      </w:r>
      <w:r w:rsidR="00BD386F">
        <w:tab/>
      </w:r>
      <w:r w:rsidR="00BD386F">
        <w:tab/>
      </w:r>
      <w:proofErr w:type="spellStart"/>
      <w:r w:rsidR="00BD386F">
        <w:t>Reveer</w:t>
      </w:r>
      <w:proofErr w:type="spellEnd"/>
      <w:r w:rsidR="00BD386F">
        <w:t xml:space="preserve"> Group, LLC</w:t>
      </w:r>
    </w:p>
    <w:p w14:paraId="5013B4DF" w14:textId="505C1589" w:rsidR="00BD386F" w:rsidRDefault="00BD386F" w:rsidP="001A3ED7">
      <w:pPr>
        <w:spacing w:line="276" w:lineRule="auto"/>
        <w:ind w:left="360"/>
        <w:contextualSpacing/>
      </w:pPr>
      <w:r>
        <w:tab/>
      </w:r>
      <w:r>
        <w:tab/>
      </w:r>
      <w:r>
        <w:tab/>
      </w:r>
      <w:r>
        <w:tab/>
        <w:t>2971 West Montague Avenue, Suite 101</w:t>
      </w:r>
    </w:p>
    <w:p w14:paraId="2CA287E0" w14:textId="310B303D" w:rsidR="00BD386F" w:rsidRDefault="00BD386F" w:rsidP="001A3ED7">
      <w:pPr>
        <w:spacing w:line="276" w:lineRule="auto"/>
        <w:ind w:left="360"/>
        <w:contextualSpacing/>
      </w:pPr>
      <w:r>
        <w:tab/>
      </w:r>
      <w:r>
        <w:tab/>
      </w:r>
      <w:r>
        <w:tab/>
      </w:r>
      <w:r>
        <w:tab/>
        <w:t>North Charleston, SC 29418</w:t>
      </w:r>
    </w:p>
    <w:p w14:paraId="45FA5595" w14:textId="6B83FD48" w:rsidR="00BD386F" w:rsidRDefault="00BD386F" w:rsidP="001A3ED7">
      <w:pPr>
        <w:spacing w:line="276" w:lineRule="auto"/>
        <w:ind w:left="360"/>
        <w:contextualSpacing/>
      </w:pPr>
      <w:r>
        <w:tab/>
      </w:r>
      <w:r>
        <w:tab/>
      </w:r>
      <w:r>
        <w:tab/>
      </w:r>
      <w:r>
        <w:tab/>
        <w:t>(843) 297-4103</w:t>
      </w:r>
    </w:p>
    <w:p w14:paraId="2D27756A" w14:textId="77777777" w:rsidR="007D0FA9" w:rsidRPr="007D0FA9" w:rsidRDefault="007D0FA9" w:rsidP="001A3ED7">
      <w:pPr>
        <w:spacing w:line="276" w:lineRule="auto"/>
        <w:contextualSpacing/>
      </w:pPr>
    </w:p>
    <w:p w14:paraId="5CE92081" w14:textId="5DA78C56" w:rsidR="00952363" w:rsidRDefault="00952363" w:rsidP="001A3ED7">
      <w:pPr>
        <w:pStyle w:val="Heading2"/>
        <w:spacing w:line="276" w:lineRule="auto"/>
        <w:contextualSpacing/>
      </w:pPr>
      <w:bookmarkStart w:id="3" w:name="_Toc149731074"/>
      <w:r>
        <w:t>General Conditions Compliance</w:t>
      </w:r>
      <w:bookmarkEnd w:id="3"/>
    </w:p>
    <w:p w14:paraId="298D32DF" w14:textId="77777777" w:rsidR="004E4F2F" w:rsidRDefault="004E4F2F" w:rsidP="001A3ED7">
      <w:pPr>
        <w:spacing w:line="276" w:lineRule="auto"/>
        <w:ind w:left="360"/>
        <w:contextualSpacing/>
      </w:pPr>
      <w:r w:rsidRPr="004E4F2F">
        <w:t>The parcels identified in Appendix 1 and collectively known as Ancrum Development (The Property), may be considered for rezoning as a Planned Development District (PDD) because:</w:t>
      </w:r>
    </w:p>
    <w:p w14:paraId="7DACAB98" w14:textId="6D786354" w:rsidR="004E4F2F" w:rsidRDefault="004E4F2F" w:rsidP="009E0A3B">
      <w:pPr>
        <w:pStyle w:val="ListParagraph"/>
        <w:numPr>
          <w:ilvl w:val="0"/>
          <w:numId w:val="3"/>
        </w:numPr>
        <w:spacing w:line="276" w:lineRule="auto"/>
      </w:pPr>
      <w:r w:rsidRPr="004E4F2F">
        <w:t>More than one principal land use is proposed for development on parcels under single or multiple ownership or management, and</w:t>
      </w:r>
      <w:r>
        <w:br/>
      </w:r>
    </w:p>
    <w:p w14:paraId="08FD0368" w14:textId="3E877059" w:rsidR="004E4F2F" w:rsidRDefault="004E4F2F" w:rsidP="009E0A3B">
      <w:pPr>
        <w:pStyle w:val="ListParagraph"/>
        <w:numPr>
          <w:ilvl w:val="0"/>
          <w:numId w:val="3"/>
        </w:numPr>
        <w:spacing w:line="276" w:lineRule="auto"/>
      </w:pPr>
      <w:r w:rsidRPr="004E4F2F">
        <w:t>Separate land uses, which would not otherwise be permitted to locate within the same zoning district, are proposed for development on one (1) or more adjacent parcels under single or separate ownership or management, and</w:t>
      </w:r>
      <w:r>
        <w:br/>
      </w:r>
    </w:p>
    <w:p w14:paraId="0A5FEFE2" w14:textId="06F62BE8" w:rsidR="00000A0C" w:rsidRDefault="004E4F2F" w:rsidP="009E0A3B">
      <w:pPr>
        <w:pStyle w:val="ListParagraph"/>
        <w:numPr>
          <w:ilvl w:val="0"/>
          <w:numId w:val="3"/>
        </w:numPr>
        <w:spacing w:line="276" w:lineRule="auto"/>
      </w:pPr>
      <w:r w:rsidRPr="004E4F2F">
        <w:t>Exceptions or variations to the site, dimensional changes in standards required or other requirements of the zoning ordinance are being sought.</w:t>
      </w:r>
      <w:r w:rsidR="00E744BA">
        <w:br/>
      </w:r>
    </w:p>
    <w:p w14:paraId="7A5C6512" w14:textId="19CD19F2" w:rsidR="004E4F2F" w:rsidRPr="001A0CC9" w:rsidRDefault="001A0CC9" w:rsidP="001A0CC9">
      <w:pPr>
        <w:pStyle w:val="Heading2"/>
      </w:pPr>
      <w:bookmarkStart w:id="4" w:name="_Toc149731075"/>
      <w:r w:rsidRPr="001A0CC9">
        <w:t>Specific Requirements Compliance</w:t>
      </w:r>
      <w:bookmarkEnd w:id="4"/>
    </w:p>
    <w:p w14:paraId="4B426F89" w14:textId="373714C3" w:rsidR="00181626" w:rsidRDefault="00D36128" w:rsidP="001A3ED7">
      <w:pPr>
        <w:spacing w:line="276" w:lineRule="auto"/>
        <w:ind w:left="360"/>
      </w:pPr>
      <w:r>
        <w:t>The Property qualifies for a PDD zoning classification because</w:t>
      </w:r>
      <w:r w:rsidR="00181626">
        <w:t xml:space="preserve"> t</w:t>
      </w:r>
      <w:r w:rsidR="00181626" w:rsidRPr="00181626">
        <w:t xml:space="preserve">he Property contains approximately 50.6 acres which fulfills the </w:t>
      </w:r>
      <w:r w:rsidR="00181626">
        <w:t>three</w:t>
      </w:r>
      <w:r w:rsidR="00181626" w:rsidRPr="00181626">
        <w:t>-acre minimum requirement.</w:t>
      </w:r>
      <w:r w:rsidR="00181626">
        <w:t xml:space="preserve"> </w:t>
      </w:r>
      <w:r w:rsidR="006364FF" w:rsidRPr="006364FF">
        <w:t>The Property is currently owned by two (2) entities: Jenkins Orphan Aid Society and Orphan Aid Society Inc. Please refer to Section 2.B for a list of ownership by parcel.</w:t>
      </w:r>
    </w:p>
    <w:p w14:paraId="254123DD" w14:textId="11BDF3AE" w:rsidR="006364FF" w:rsidRDefault="006364FF" w:rsidP="001A3ED7">
      <w:pPr>
        <w:pStyle w:val="Heading2"/>
        <w:spacing w:line="276" w:lineRule="auto"/>
      </w:pPr>
      <w:bookmarkStart w:id="5" w:name="_Toc149731076"/>
      <w:r>
        <w:lastRenderedPageBreak/>
        <w:t>Existing zoning</w:t>
      </w:r>
      <w:bookmarkEnd w:id="5"/>
    </w:p>
    <w:p w14:paraId="7D92F082" w14:textId="2CFF21D9" w:rsidR="00E744BA" w:rsidRDefault="00E744BA" w:rsidP="001A3ED7">
      <w:pPr>
        <w:spacing w:line="276" w:lineRule="auto"/>
        <w:ind w:left="360"/>
      </w:pPr>
      <w:r w:rsidRPr="00E744BA">
        <w:t xml:space="preserve">The Property is located within Berkeley County and falls into two (2) zoning categories: GC (General Commercial) and R2 (Manufactured Residential). All parcels listed as part of this PDD will be annexed into the City of </w:t>
      </w:r>
      <w:r>
        <w:t>Goose Creek</w:t>
      </w:r>
      <w:r w:rsidRPr="00E744BA">
        <w:t xml:space="preserve"> concurrently with this PD rezoning.</w:t>
      </w:r>
      <w:r>
        <w:br/>
      </w:r>
    </w:p>
    <w:p w14:paraId="5D614698" w14:textId="60FB8ACF" w:rsidR="00E744BA" w:rsidRDefault="00E744BA" w:rsidP="001A3ED7">
      <w:pPr>
        <w:pStyle w:val="Heading2"/>
        <w:spacing w:line="276" w:lineRule="auto"/>
      </w:pPr>
      <w:bookmarkStart w:id="6" w:name="_Toc149731077"/>
      <w:r>
        <w:t>Modifications</w:t>
      </w:r>
      <w:bookmarkEnd w:id="6"/>
    </w:p>
    <w:p w14:paraId="035DDD04" w14:textId="1F5D91EC" w:rsidR="00E744BA" w:rsidRDefault="00851C02" w:rsidP="001A3ED7">
      <w:pPr>
        <w:spacing w:line="276" w:lineRule="auto"/>
        <w:ind w:left="360"/>
      </w:pPr>
      <w:r w:rsidRPr="00851C02">
        <w:t xml:space="preserve">Unless alteration is permitted by way of a Zoning Administrator approved variance as set forth in the City of </w:t>
      </w:r>
      <w:r>
        <w:t>Goose Creek</w:t>
      </w:r>
      <w:r w:rsidRPr="00851C02">
        <w:t xml:space="preserve"> Ordinance, all standards of development shall conform to the standards adopted for the planned development district, regardless of any changes in ownership. Certain minor variations from the adopted PDD plan may be approved as an administrative variance by the Zoning Administrator.</w:t>
      </w:r>
    </w:p>
    <w:p w14:paraId="7EF7763F" w14:textId="4115A603" w:rsidR="005D37AB" w:rsidRDefault="005D37AB" w:rsidP="001A3ED7">
      <w:pPr>
        <w:pStyle w:val="Heading1"/>
        <w:spacing w:line="276" w:lineRule="auto"/>
      </w:pPr>
      <w:bookmarkStart w:id="7" w:name="_Toc149731078"/>
      <w:r>
        <w:t>Site Description</w:t>
      </w:r>
      <w:bookmarkEnd w:id="7"/>
    </w:p>
    <w:p w14:paraId="71183683" w14:textId="4C0EC3F1" w:rsidR="005D37AB" w:rsidRDefault="005D37AB" w:rsidP="009E0A3B">
      <w:pPr>
        <w:pStyle w:val="Heading2"/>
        <w:numPr>
          <w:ilvl w:val="0"/>
          <w:numId w:val="4"/>
        </w:numPr>
        <w:spacing w:line="276" w:lineRule="auto"/>
      </w:pPr>
      <w:bookmarkStart w:id="8" w:name="_Toc149731079"/>
      <w:r>
        <w:t>General Location</w:t>
      </w:r>
      <w:bookmarkEnd w:id="8"/>
    </w:p>
    <w:p w14:paraId="3015928A" w14:textId="31FDF506" w:rsidR="0064608E" w:rsidRDefault="00610BF8" w:rsidP="001A3ED7">
      <w:pPr>
        <w:spacing w:line="276" w:lineRule="auto"/>
        <w:ind w:left="360"/>
      </w:pPr>
      <w:r w:rsidRPr="00610BF8">
        <w:t xml:space="preserve">The Property is composed of two (2) parcels within Berkeley County. The property is generally bound to the north by properties within Berkeley County, to the east by Interstate 26 (I-26), to the south by Ancrum Road and to the west by properties within Berkeley County and the City of North Charleston. </w:t>
      </w:r>
      <w:r w:rsidR="00CF3650">
        <w:br/>
      </w:r>
      <w:r w:rsidRPr="00610BF8">
        <w:t xml:space="preserve"> </w:t>
      </w:r>
    </w:p>
    <w:p w14:paraId="5AFE056C" w14:textId="0B1FD958" w:rsidR="005D37AB" w:rsidRDefault="005D37AB" w:rsidP="009E0A3B">
      <w:pPr>
        <w:pStyle w:val="Heading2"/>
        <w:numPr>
          <w:ilvl w:val="0"/>
          <w:numId w:val="4"/>
        </w:numPr>
        <w:spacing w:line="276" w:lineRule="auto"/>
      </w:pPr>
      <w:bookmarkStart w:id="9" w:name="_Toc149731080"/>
      <w:r>
        <w:t xml:space="preserve">Parcel </w:t>
      </w:r>
      <w:r w:rsidR="001A0CC9">
        <w:t>a</w:t>
      </w:r>
      <w:r>
        <w:t xml:space="preserve">nd </w:t>
      </w:r>
      <w:r w:rsidR="001A0CC9">
        <w:t>O</w:t>
      </w:r>
      <w:r>
        <w:t xml:space="preserve">wner </w:t>
      </w:r>
      <w:r w:rsidR="001A0CC9">
        <w:t>S</w:t>
      </w:r>
      <w:r>
        <w:t>ummary</w:t>
      </w:r>
      <w:bookmarkEnd w:id="9"/>
    </w:p>
    <w:tbl>
      <w:tblPr>
        <w:tblStyle w:val="TableGrid"/>
        <w:tblW w:w="8995" w:type="dxa"/>
        <w:tblInd w:w="360" w:type="dxa"/>
        <w:tblLook w:val="04A0" w:firstRow="1" w:lastRow="0" w:firstColumn="1" w:lastColumn="0" w:noHBand="0" w:noVBand="1"/>
      </w:tblPr>
      <w:tblGrid>
        <w:gridCol w:w="1255"/>
        <w:gridCol w:w="2160"/>
        <w:gridCol w:w="1710"/>
        <w:gridCol w:w="3870"/>
      </w:tblGrid>
      <w:tr w:rsidR="00BA7A4B" w14:paraId="2F1B7F33" w14:textId="77777777" w:rsidTr="004679B5">
        <w:trPr>
          <w:trHeight w:val="356"/>
        </w:trPr>
        <w:tc>
          <w:tcPr>
            <w:tcW w:w="1255" w:type="dxa"/>
            <w:shd w:val="clear" w:color="auto" w:fill="D9E2F3" w:themeFill="accent1" w:themeFillTint="33"/>
            <w:vAlign w:val="center"/>
          </w:tcPr>
          <w:p w14:paraId="3D328594" w14:textId="77777777" w:rsidR="00BA7A4B" w:rsidRPr="00CA3988" w:rsidRDefault="00BA7A4B" w:rsidP="001A3ED7">
            <w:pPr>
              <w:spacing w:line="276" w:lineRule="auto"/>
              <w:contextualSpacing/>
              <w:jc w:val="center"/>
              <w:rPr>
                <w:rFonts w:ascii="Tenorite" w:hAnsi="Tenorite"/>
                <w:b/>
                <w:bCs/>
                <w:sz w:val="22"/>
              </w:rPr>
            </w:pPr>
            <w:r w:rsidRPr="00CA3988">
              <w:rPr>
                <w:rFonts w:ascii="Tenorite" w:hAnsi="Tenorite"/>
                <w:b/>
                <w:bCs/>
                <w:sz w:val="22"/>
              </w:rPr>
              <w:t>Parcel</w:t>
            </w:r>
          </w:p>
        </w:tc>
        <w:tc>
          <w:tcPr>
            <w:tcW w:w="2160" w:type="dxa"/>
            <w:shd w:val="clear" w:color="auto" w:fill="D9E2F3" w:themeFill="accent1" w:themeFillTint="33"/>
            <w:vAlign w:val="center"/>
          </w:tcPr>
          <w:p w14:paraId="563B4CFD" w14:textId="77777777" w:rsidR="00BA7A4B" w:rsidRPr="00CA3988" w:rsidRDefault="00BA7A4B" w:rsidP="001A3ED7">
            <w:pPr>
              <w:spacing w:line="276" w:lineRule="auto"/>
              <w:contextualSpacing/>
              <w:jc w:val="center"/>
              <w:rPr>
                <w:rFonts w:ascii="Tenorite" w:hAnsi="Tenorite"/>
                <w:b/>
                <w:bCs/>
                <w:sz w:val="22"/>
              </w:rPr>
            </w:pPr>
            <w:r w:rsidRPr="00CA3988">
              <w:rPr>
                <w:rFonts w:ascii="Tenorite" w:hAnsi="Tenorite"/>
                <w:b/>
                <w:bCs/>
                <w:sz w:val="22"/>
              </w:rPr>
              <w:t>TMS</w:t>
            </w:r>
          </w:p>
        </w:tc>
        <w:tc>
          <w:tcPr>
            <w:tcW w:w="1710" w:type="dxa"/>
            <w:shd w:val="clear" w:color="auto" w:fill="D9E2F3" w:themeFill="accent1" w:themeFillTint="33"/>
            <w:vAlign w:val="center"/>
          </w:tcPr>
          <w:p w14:paraId="3C057807" w14:textId="77777777" w:rsidR="00BA7A4B" w:rsidRPr="00CA3988" w:rsidRDefault="00BA7A4B" w:rsidP="001A3ED7">
            <w:pPr>
              <w:spacing w:line="276" w:lineRule="auto"/>
              <w:contextualSpacing/>
              <w:jc w:val="center"/>
              <w:rPr>
                <w:rFonts w:ascii="Tenorite" w:hAnsi="Tenorite"/>
                <w:b/>
                <w:bCs/>
                <w:sz w:val="22"/>
              </w:rPr>
            </w:pPr>
            <w:r w:rsidRPr="00CA3988">
              <w:rPr>
                <w:rFonts w:ascii="Tenorite" w:hAnsi="Tenorite"/>
                <w:b/>
                <w:bCs/>
                <w:sz w:val="22"/>
              </w:rPr>
              <w:t xml:space="preserve">Area </w:t>
            </w:r>
            <w:r w:rsidRPr="00CA3988">
              <w:rPr>
                <w:rFonts w:ascii="Tenorite" w:hAnsi="Tenorite"/>
                <w:sz w:val="22"/>
              </w:rPr>
              <w:t>(acres)</w:t>
            </w:r>
          </w:p>
        </w:tc>
        <w:tc>
          <w:tcPr>
            <w:tcW w:w="3870" w:type="dxa"/>
            <w:shd w:val="clear" w:color="auto" w:fill="D9E2F3" w:themeFill="accent1" w:themeFillTint="33"/>
            <w:vAlign w:val="center"/>
          </w:tcPr>
          <w:p w14:paraId="38DA7085" w14:textId="77777777" w:rsidR="00BA7A4B" w:rsidRPr="00CA3988" w:rsidRDefault="00BA7A4B" w:rsidP="001A3ED7">
            <w:pPr>
              <w:spacing w:line="276" w:lineRule="auto"/>
              <w:contextualSpacing/>
              <w:rPr>
                <w:rFonts w:ascii="Tenorite" w:hAnsi="Tenorite"/>
                <w:b/>
                <w:bCs/>
                <w:sz w:val="22"/>
              </w:rPr>
            </w:pPr>
            <w:r w:rsidRPr="00CA3988">
              <w:rPr>
                <w:rFonts w:ascii="Tenorite" w:hAnsi="Tenorite"/>
                <w:b/>
                <w:bCs/>
                <w:sz w:val="22"/>
              </w:rPr>
              <w:t>Owner</w:t>
            </w:r>
          </w:p>
        </w:tc>
      </w:tr>
      <w:tr w:rsidR="00BA7A4B" w14:paraId="0EC4233F" w14:textId="77777777" w:rsidTr="004679B5">
        <w:trPr>
          <w:trHeight w:val="356"/>
        </w:trPr>
        <w:tc>
          <w:tcPr>
            <w:tcW w:w="1255" w:type="dxa"/>
            <w:vAlign w:val="center"/>
          </w:tcPr>
          <w:p w14:paraId="4CEB9C0C" w14:textId="77777777" w:rsidR="00BA7A4B" w:rsidRPr="001A6868" w:rsidRDefault="00BA7A4B" w:rsidP="001A3ED7">
            <w:pPr>
              <w:spacing w:line="276" w:lineRule="auto"/>
              <w:contextualSpacing/>
              <w:jc w:val="center"/>
            </w:pPr>
            <w:r w:rsidRPr="001A6868">
              <w:t>A</w:t>
            </w:r>
          </w:p>
        </w:tc>
        <w:tc>
          <w:tcPr>
            <w:tcW w:w="2160" w:type="dxa"/>
            <w:vAlign w:val="center"/>
          </w:tcPr>
          <w:p w14:paraId="05CE4E02" w14:textId="77777777" w:rsidR="00BA7A4B" w:rsidRPr="001A6868" w:rsidRDefault="00BA7A4B" w:rsidP="001A3ED7">
            <w:pPr>
              <w:spacing w:line="276" w:lineRule="auto"/>
              <w:contextualSpacing/>
              <w:jc w:val="center"/>
            </w:pPr>
            <w:r w:rsidRPr="001A6868">
              <w:t>242-00-03-053</w:t>
            </w:r>
          </w:p>
        </w:tc>
        <w:tc>
          <w:tcPr>
            <w:tcW w:w="1710" w:type="dxa"/>
            <w:vAlign w:val="center"/>
          </w:tcPr>
          <w:p w14:paraId="56934771" w14:textId="77777777" w:rsidR="00BA7A4B" w:rsidRPr="001A6868" w:rsidRDefault="00BA7A4B" w:rsidP="001A3ED7">
            <w:pPr>
              <w:spacing w:line="276" w:lineRule="auto"/>
              <w:contextualSpacing/>
              <w:jc w:val="center"/>
            </w:pPr>
            <w:r w:rsidRPr="001A6868">
              <w:t>50.05</w:t>
            </w:r>
          </w:p>
        </w:tc>
        <w:tc>
          <w:tcPr>
            <w:tcW w:w="3870" w:type="dxa"/>
            <w:vAlign w:val="center"/>
          </w:tcPr>
          <w:p w14:paraId="6B28940A" w14:textId="77777777" w:rsidR="00BA7A4B" w:rsidRPr="001A6868" w:rsidRDefault="00BA7A4B" w:rsidP="001A3ED7">
            <w:pPr>
              <w:spacing w:line="276" w:lineRule="auto"/>
              <w:contextualSpacing/>
            </w:pPr>
            <w:r w:rsidRPr="001A6868">
              <w:t>Jenkins Orphan Aid Society</w:t>
            </w:r>
          </w:p>
        </w:tc>
      </w:tr>
      <w:tr w:rsidR="00BA7A4B" w14:paraId="169039D3" w14:textId="77777777" w:rsidTr="004679B5">
        <w:trPr>
          <w:trHeight w:val="356"/>
        </w:trPr>
        <w:tc>
          <w:tcPr>
            <w:tcW w:w="1255" w:type="dxa"/>
            <w:vAlign w:val="center"/>
          </w:tcPr>
          <w:p w14:paraId="1588D2AC" w14:textId="77777777" w:rsidR="00BA7A4B" w:rsidRPr="001A6868" w:rsidRDefault="00BA7A4B" w:rsidP="001A3ED7">
            <w:pPr>
              <w:spacing w:line="276" w:lineRule="auto"/>
              <w:contextualSpacing/>
              <w:jc w:val="center"/>
            </w:pPr>
            <w:r w:rsidRPr="001A6868">
              <w:t>B</w:t>
            </w:r>
          </w:p>
        </w:tc>
        <w:tc>
          <w:tcPr>
            <w:tcW w:w="2160" w:type="dxa"/>
            <w:vAlign w:val="center"/>
          </w:tcPr>
          <w:p w14:paraId="3D06DF76" w14:textId="77777777" w:rsidR="00BA7A4B" w:rsidRPr="001A6868" w:rsidRDefault="00BA7A4B" w:rsidP="001A3ED7">
            <w:pPr>
              <w:spacing w:line="276" w:lineRule="auto"/>
              <w:contextualSpacing/>
              <w:jc w:val="center"/>
            </w:pPr>
            <w:r w:rsidRPr="001A6868">
              <w:t>242-00-03-055</w:t>
            </w:r>
          </w:p>
        </w:tc>
        <w:tc>
          <w:tcPr>
            <w:tcW w:w="1710" w:type="dxa"/>
            <w:vAlign w:val="center"/>
          </w:tcPr>
          <w:p w14:paraId="4BB77693" w14:textId="77777777" w:rsidR="00BA7A4B" w:rsidRPr="001A6868" w:rsidRDefault="00BA7A4B" w:rsidP="001A3ED7">
            <w:pPr>
              <w:spacing w:line="276" w:lineRule="auto"/>
              <w:contextualSpacing/>
              <w:jc w:val="center"/>
            </w:pPr>
            <w:r w:rsidRPr="001A6868">
              <w:t>0.56</w:t>
            </w:r>
          </w:p>
        </w:tc>
        <w:tc>
          <w:tcPr>
            <w:tcW w:w="3870" w:type="dxa"/>
            <w:vAlign w:val="center"/>
          </w:tcPr>
          <w:p w14:paraId="584CD4E5" w14:textId="77777777" w:rsidR="00BA7A4B" w:rsidRPr="001A6868" w:rsidRDefault="00BA7A4B" w:rsidP="001A3ED7">
            <w:pPr>
              <w:spacing w:line="276" w:lineRule="auto"/>
              <w:contextualSpacing/>
            </w:pPr>
            <w:r w:rsidRPr="001A6868">
              <w:t>Orphan Aid Society Inc</w:t>
            </w:r>
          </w:p>
        </w:tc>
      </w:tr>
      <w:tr w:rsidR="00BA7A4B" w14:paraId="6A4183F4" w14:textId="77777777" w:rsidTr="004679B5">
        <w:trPr>
          <w:trHeight w:val="356"/>
        </w:trPr>
        <w:tc>
          <w:tcPr>
            <w:tcW w:w="3415" w:type="dxa"/>
            <w:gridSpan w:val="2"/>
            <w:shd w:val="clear" w:color="auto" w:fill="D9E2F3" w:themeFill="accent1" w:themeFillTint="33"/>
            <w:vAlign w:val="center"/>
          </w:tcPr>
          <w:p w14:paraId="360704F5" w14:textId="77777777" w:rsidR="00BA7A4B" w:rsidRPr="001A6868" w:rsidRDefault="00BA7A4B" w:rsidP="001A3ED7">
            <w:pPr>
              <w:spacing w:line="276" w:lineRule="auto"/>
              <w:contextualSpacing/>
              <w:jc w:val="right"/>
              <w:rPr>
                <w:rFonts w:ascii="Tenorite" w:hAnsi="Tenorite"/>
                <w:b/>
                <w:bCs/>
                <w:sz w:val="22"/>
              </w:rPr>
            </w:pPr>
            <w:r w:rsidRPr="001A6868">
              <w:rPr>
                <w:rFonts w:ascii="Tenorite" w:hAnsi="Tenorite"/>
                <w:b/>
                <w:bCs/>
                <w:sz w:val="22"/>
              </w:rPr>
              <w:t>Total PDD Area</w:t>
            </w:r>
          </w:p>
        </w:tc>
        <w:tc>
          <w:tcPr>
            <w:tcW w:w="5580" w:type="dxa"/>
            <w:gridSpan w:val="2"/>
            <w:shd w:val="clear" w:color="auto" w:fill="D9E2F3" w:themeFill="accent1" w:themeFillTint="33"/>
            <w:vAlign w:val="center"/>
          </w:tcPr>
          <w:p w14:paraId="4655F269" w14:textId="77777777" w:rsidR="00BA7A4B" w:rsidRPr="001A6868" w:rsidRDefault="00BA7A4B" w:rsidP="001A3ED7">
            <w:pPr>
              <w:spacing w:line="276" w:lineRule="auto"/>
              <w:contextualSpacing/>
              <w:rPr>
                <w:rFonts w:ascii="Tenorite" w:hAnsi="Tenorite"/>
                <w:b/>
                <w:bCs/>
                <w:sz w:val="22"/>
              </w:rPr>
            </w:pPr>
            <w:r w:rsidRPr="001A6868">
              <w:rPr>
                <w:rFonts w:ascii="Tenorite" w:hAnsi="Tenorite"/>
                <w:b/>
                <w:bCs/>
                <w:sz w:val="22"/>
              </w:rPr>
              <w:t>50.6 acres</w:t>
            </w:r>
          </w:p>
        </w:tc>
      </w:tr>
    </w:tbl>
    <w:p w14:paraId="1A9FEA94" w14:textId="77777777" w:rsidR="008C4D2D" w:rsidRPr="008C4D2D" w:rsidRDefault="008C4D2D" w:rsidP="001A3ED7">
      <w:pPr>
        <w:spacing w:line="276" w:lineRule="auto"/>
        <w:ind w:left="360"/>
      </w:pPr>
    </w:p>
    <w:p w14:paraId="42DC361E" w14:textId="40C40960" w:rsidR="005D37AB" w:rsidRDefault="005D37AB" w:rsidP="009E0A3B">
      <w:pPr>
        <w:pStyle w:val="Heading2"/>
        <w:numPr>
          <w:ilvl w:val="0"/>
          <w:numId w:val="4"/>
        </w:numPr>
        <w:spacing w:line="276" w:lineRule="auto"/>
      </w:pPr>
      <w:bookmarkStart w:id="10" w:name="_Toc149731081"/>
      <w:r>
        <w:t xml:space="preserve">Total </w:t>
      </w:r>
      <w:r w:rsidR="001A0CC9">
        <w:t>S</w:t>
      </w:r>
      <w:r>
        <w:t xml:space="preserve">ite and </w:t>
      </w:r>
      <w:r w:rsidR="001A0CC9">
        <w:t>W</w:t>
      </w:r>
      <w:r>
        <w:t xml:space="preserve">etland </w:t>
      </w:r>
      <w:r w:rsidR="001A0CC9">
        <w:t>A</w:t>
      </w:r>
      <w:r>
        <w:t>reas</w:t>
      </w:r>
      <w:bookmarkEnd w:id="10"/>
    </w:p>
    <w:p w14:paraId="73BF650B" w14:textId="1953DA94" w:rsidR="00C45332" w:rsidRDefault="005D724D" w:rsidP="001A3ED7">
      <w:pPr>
        <w:spacing w:line="276" w:lineRule="auto"/>
        <w:ind w:left="360"/>
      </w:pPr>
      <w:r w:rsidRPr="005D724D">
        <w:t xml:space="preserve">The parcels outlined in Appendix </w:t>
      </w:r>
      <w:r w:rsidR="00FE4088">
        <w:t>2</w:t>
      </w:r>
      <w:r w:rsidRPr="005D724D">
        <w:t xml:space="preserve"> represent a total of 50.6 acres and include approximately 7.83 acres of wetlands that have been flagged by environmental scientists as possible wetlands. Individual wetland surveys will be required for all future development within the PDD. It shall be the responsibility of the individual parcel owner to obtain any necessary wetland impact permits required for proposed development.  </w:t>
      </w:r>
      <w:r w:rsidR="00CF3650">
        <w:br/>
      </w:r>
    </w:p>
    <w:p w14:paraId="77A04719" w14:textId="47C27F78" w:rsidR="005D37AB" w:rsidRDefault="00384C0B" w:rsidP="009E0A3B">
      <w:pPr>
        <w:pStyle w:val="Heading2"/>
        <w:numPr>
          <w:ilvl w:val="0"/>
          <w:numId w:val="4"/>
        </w:numPr>
        <w:spacing w:line="276" w:lineRule="auto"/>
      </w:pPr>
      <w:bookmarkStart w:id="11" w:name="_Toc149731082"/>
      <w:r>
        <w:t>Areas of current forestry operation</w:t>
      </w:r>
      <w:bookmarkEnd w:id="11"/>
    </w:p>
    <w:p w14:paraId="47DC2A14" w14:textId="7E3263C4" w:rsidR="00384C0B" w:rsidRDefault="00384C0B" w:rsidP="001A3ED7">
      <w:pPr>
        <w:spacing w:line="276" w:lineRule="auto"/>
        <w:ind w:left="360"/>
      </w:pPr>
      <w:r w:rsidRPr="00384C0B">
        <w:t>There are no areas within the PDD currently under commercial forestry operation, nor areas anticipated for forestry operation in the future.</w:t>
      </w:r>
      <w:r w:rsidR="00CF3650">
        <w:br/>
      </w:r>
    </w:p>
    <w:p w14:paraId="6E7A9BF6" w14:textId="7C9687C9" w:rsidR="00384C0B" w:rsidRPr="00421793" w:rsidRDefault="00421793" w:rsidP="00421793">
      <w:pPr>
        <w:pStyle w:val="Heading2"/>
        <w:numPr>
          <w:ilvl w:val="0"/>
          <w:numId w:val="4"/>
        </w:numPr>
      </w:pPr>
      <w:bookmarkStart w:id="12" w:name="_Toc149731083"/>
      <w:r w:rsidRPr="00421793">
        <w:t>Areas of Known Environmental Contamination</w:t>
      </w:r>
      <w:bookmarkEnd w:id="12"/>
    </w:p>
    <w:p w14:paraId="60D0D6E6" w14:textId="0593A4CF" w:rsidR="00384C0B" w:rsidRDefault="00FD7338" w:rsidP="001A3ED7">
      <w:pPr>
        <w:spacing w:line="276" w:lineRule="auto"/>
        <w:ind w:left="360"/>
      </w:pPr>
      <w:r w:rsidRPr="00FD7338">
        <w:t xml:space="preserve">A portion of the Property was previously used as a landfill (and is subject to a Consent Agreement (95-07-HW) by the South Carolina Department of Health and Environmental Control and Waste Management of South Carolina. Information regarding this landfill is contained in Appendices </w:t>
      </w:r>
      <w:r w:rsidR="00FE4088">
        <w:t>3</w:t>
      </w:r>
      <w:r w:rsidRPr="00FD7338">
        <w:t xml:space="preserve"> and </w:t>
      </w:r>
      <w:r w:rsidR="00FE4088">
        <w:t>4</w:t>
      </w:r>
      <w:r>
        <w:t>.</w:t>
      </w:r>
    </w:p>
    <w:p w14:paraId="00AE00CA" w14:textId="49A368AA" w:rsidR="00FD7338" w:rsidRPr="00421793" w:rsidRDefault="00421793" w:rsidP="00421793">
      <w:pPr>
        <w:pStyle w:val="Heading2"/>
        <w:numPr>
          <w:ilvl w:val="0"/>
          <w:numId w:val="4"/>
        </w:numPr>
      </w:pPr>
      <w:bookmarkStart w:id="13" w:name="_Toc149731084"/>
      <w:r w:rsidRPr="00421793">
        <w:lastRenderedPageBreak/>
        <w:t>Known Historical and Architecturally Significant Site</w:t>
      </w:r>
      <w:bookmarkEnd w:id="13"/>
    </w:p>
    <w:p w14:paraId="56A08956" w14:textId="6E2A5FFE" w:rsidR="00126EC4" w:rsidRDefault="00126EC4" w:rsidP="001A3ED7">
      <w:pPr>
        <w:spacing w:line="276" w:lineRule="auto"/>
        <w:ind w:left="360"/>
      </w:pPr>
      <w:r w:rsidRPr="00126EC4">
        <w:t>A</w:t>
      </w:r>
      <w:r>
        <w:t xml:space="preserve"> former </w:t>
      </w:r>
      <w:r w:rsidRPr="00126EC4">
        <w:t>cemetery is located within the Property at TMS 242-00-03-054, owned by the Huguenot Society of SC. The Developer will maintain an access easement to the cemetery parcel, as well as a 25-foot buffer around its parcel line. However, the Developer may reduce or omit the buffer</w:t>
      </w:r>
      <w:r>
        <w:t xml:space="preserve"> in the future</w:t>
      </w:r>
      <w:r w:rsidRPr="00126EC4">
        <w:t xml:space="preserve"> based on a cultural resources survey.</w:t>
      </w:r>
      <w:r w:rsidR="00CF3650">
        <w:br/>
      </w:r>
    </w:p>
    <w:p w14:paraId="06350AF8" w14:textId="58802783" w:rsidR="00126EC4" w:rsidRDefault="00126EC4" w:rsidP="009E0A3B">
      <w:pPr>
        <w:pStyle w:val="Heading2"/>
        <w:numPr>
          <w:ilvl w:val="0"/>
          <w:numId w:val="4"/>
        </w:numPr>
        <w:spacing w:line="276" w:lineRule="auto"/>
      </w:pPr>
      <w:bookmarkStart w:id="14" w:name="_Toc149731085"/>
      <w:r>
        <w:t xml:space="preserve">additional </w:t>
      </w:r>
      <w:r w:rsidR="00421793">
        <w:t>D</w:t>
      </w:r>
      <w:r>
        <w:t xml:space="preserve">evelopment </w:t>
      </w:r>
      <w:r w:rsidR="00421793">
        <w:t>R</w:t>
      </w:r>
      <w:r>
        <w:t>estrictions</w:t>
      </w:r>
      <w:bookmarkEnd w:id="14"/>
    </w:p>
    <w:p w14:paraId="55B2ADA7" w14:textId="298167B6" w:rsidR="00126EC4" w:rsidRDefault="00C45332" w:rsidP="001A3ED7">
      <w:pPr>
        <w:spacing w:line="276" w:lineRule="auto"/>
        <w:ind w:left="360"/>
      </w:pPr>
      <w:r w:rsidRPr="00C45332">
        <w:t xml:space="preserve">A portion of Parcel A (TMS 242-00-03-053) is subject to a Declaration of Covenants and Restrictions (Appendix </w:t>
      </w:r>
      <w:r w:rsidR="003B4F1E">
        <w:t>4</w:t>
      </w:r>
      <w:r w:rsidRPr="00C45332">
        <w:t>) recorded in the Berkeley County Register of Deeds office in Book 2035 Pages 58-68. In general, these covenants identify the Consent Agreement entered into by Orphan Aid Society (OAS) and the South Carolina Department of Health and Environmental Control (SCDHEC) pursuant to the Comprehensive Environmental Response Compensation and Liability Act (CERCLA). The covenants further define certain prohibited land uses, including residential, agricultural, recreational, child day care facilities, schools, or elderly care facilities.</w:t>
      </w:r>
    </w:p>
    <w:p w14:paraId="77BEE700" w14:textId="1C7ABE19" w:rsidR="00C44337" w:rsidRDefault="00C44337" w:rsidP="001A3ED7">
      <w:pPr>
        <w:pStyle w:val="Heading1"/>
        <w:spacing w:line="276" w:lineRule="auto"/>
      </w:pPr>
      <w:bookmarkStart w:id="15" w:name="_Toc149731086"/>
      <w:r>
        <w:t>Development Narrative</w:t>
      </w:r>
      <w:bookmarkEnd w:id="15"/>
    </w:p>
    <w:p w14:paraId="067EF3D9" w14:textId="28B49A55" w:rsidR="00162517" w:rsidRDefault="00421793" w:rsidP="009E0A3B">
      <w:pPr>
        <w:pStyle w:val="Heading2"/>
        <w:numPr>
          <w:ilvl w:val="0"/>
          <w:numId w:val="5"/>
        </w:numPr>
        <w:spacing w:line="276" w:lineRule="auto"/>
      </w:pPr>
      <w:bookmarkStart w:id="16" w:name="_Toc149731087"/>
      <w:r>
        <w:t>I</w:t>
      </w:r>
      <w:r w:rsidR="00162517">
        <w:t xml:space="preserve">ntent of the </w:t>
      </w:r>
      <w:r w:rsidR="00240023">
        <w:t>S</w:t>
      </w:r>
      <w:r w:rsidR="00162517">
        <w:t>tandards</w:t>
      </w:r>
      <w:bookmarkEnd w:id="16"/>
    </w:p>
    <w:p w14:paraId="5B2C9ABF" w14:textId="6AB194F9" w:rsidR="00162517" w:rsidRPr="00162517" w:rsidRDefault="00162517" w:rsidP="001A3ED7">
      <w:pPr>
        <w:spacing w:line="276" w:lineRule="auto"/>
        <w:ind w:left="360"/>
      </w:pPr>
      <w:r w:rsidRPr="00162517">
        <w:t xml:space="preserve">Ancrum Development is intended to be a commercial and industrial development that will support and promote economic growth within the City of </w:t>
      </w:r>
      <w:r w:rsidR="00A466AA">
        <w:t>Goose Creek</w:t>
      </w:r>
      <w:r w:rsidRPr="00162517">
        <w:t>.</w:t>
      </w:r>
      <w:r w:rsidR="00CF3650">
        <w:br/>
      </w:r>
    </w:p>
    <w:p w14:paraId="17375B26" w14:textId="06536325" w:rsidR="00162517" w:rsidRDefault="00162517" w:rsidP="009E0A3B">
      <w:pPr>
        <w:pStyle w:val="Heading2"/>
        <w:numPr>
          <w:ilvl w:val="0"/>
          <w:numId w:val="5"/>
        </w:numPr>
        <w:spacing w:line="276" w:lineRule="auto"/>
      </w:pPr>
      <w:bookmarkStart w:id="17" w:name="_Toc149731088"/>
      <w:r>
        <w:t xml:space="preserve">Permitted and </w:t>
      </w:r>
      <w:r w:rsidR="00240023">
        <w:t>C</w:t>
      </w:r>
      <w:r>
        <w:t xml:space="preserve">onditional </w:t>
      </w:r>
      <w:r w:rsidR="00240023">
        <w:t>U</w:t>
      </w:r>
      <w:r>
        <w:t>SEs</w:t>
      </w:r>
      <w:bookmarkEnd w:id="17"/>
    </w:p>
    <w:p w14:paraId="466E9834" w14:textId="63B9450E" w:rsidR="00FD7338" w:rsidRDefault="00A466AA" w:rsidP="001A3ED7">
      <w:pPr>
        <w:spacing w:line="276" w:lineRule="auto"/>
        <w:ind w:left="360"/>
      </w:pPr>
      <w:r w:rsidRPr="00A466AA">
        <w:t xml:space="preserve">To tailor development standards to meet the goals of specific areas within the Property, the Property has been divided into three (3) zoning areas, each with specific allowable uses and development standards. Please refer to Appendix </w:t>
      </w:r>
      <w:r w:rsidR="003B4F1E">
        <w:t>5</w:t>
      </w:r>
      <w:r w:rsidRPr="00A466AA">
        <w:t xml:space="preserve"> – Conceptual Site Plan – for conceptual delineations of each zoning area. The conceptual site plan contains an approximate alignment for future public right-of</w:t>
      </w:r>
      <w:r w:rsidR="00545606">
        <w:t xml:space="preserve"> </w:t>
      </w:r>
      <w:r w:rsidRPr="00A466AA">
        <w:t xml:space="preserve">way and the alignment of the roadway is subject to change. Development standards for each zoning area are outlined in </w:t>
      </w:r>
      <w:r w:rsidRPr="00545606">
        <w:rPr>
          <w:i/>
          <w:iCs/>
        </w:rPr>
        <w:t>Section 4. Development Standards</w:t>
      </w:r>
      <w:r w:rsidRPr="00A466AA">
        <w:t>.</w:t>
      </w:r>
    </w:p>
    <w:p w14:paraId="4C60F500" w14:textId="2C9C9FFA" w:rsidR="00CB46EF" w:rsidRPr="00A9145F" w:rsidRDefault="00242140" w:rsidP="009E0A3B">
      <w:pPr>
        <w:pStyle w:val="ListParagraph"/>
        <w:numPr>
          <w:ilvl w:val="0"/>
          <w:numId w:val="6"/>
        </w:numPr>
        <w:tabs>
          <w:tab w:val="left" w:pos="810"/>
        </w:tabs>
        <w:spacing w:line="276" w:lineRule="auto"/>
        <w:rPr>
          <w:rFonts w:ascii="Tenorite" w:hAnsi="Tenorite"/>
          <w:b/>
          <w:bCs/>
          <w:sz w:val="22"/>
        </w:rPr>
      </w:pPr>
      <w:r w:rsidRPr="00A9145F">
        <w:rPr>
          <w:rFonts w:ascii="Tenorite" w:hAnsi="Tenorite"/>
          <w:b/>
          <w:bCs/>
          <w:sz w:val="22"/>
        </w:rPr>
        <w:t>Commercial (C)</w:t>
      </w:r>
    </w:p>
    <w:p w14:paraId="6C63EED5" w14:textId="77777777" w:rsidR="00A9145F" w:rsidRDefault="00A9145F" w:rsidP="001A3ED7">
      <w:pPr>
        <w:pStyle w:val="ListParagraph"/>
        <w:tabs>
          <w:tab w:val="left" w:pos="810"/>
        </w:tabs>
        <w:spacing w:line="276" w:lineRule="auto"/>
      </w:pPr>
      <w:r w:rsidRPr="00A9145F">
        <w:t>The Commercial zoning area is intended to provide areas for business and professional service uses that are beneficial to other businesses.</w:t>
      </w:r>
    </w:p>
    <w:p w14:paraId="49C50D7B" w14:textId="77777777" w:rsidR="00711285" w:rsidRDefault="00711285" w:rsidP="001A3ED7">
      <w:pPr>
        <w:pStyle w:val="ListParagraph"/>
        <w:tabs>
          <w:tab w:val="left" w:pos="810"/>
        </w:tabs>
        <w:spacing w:line="276" w:lineRule="auto"/>
      </w:pPr>
    </w:p>
    <w:p w14:paraId="31E038BD" w14:textId="2437037D" w:rsidR="003227E0" w:rsidRDefault="00A9145F" w:rsidP="009E0A3B">
      <w:pPr>
        <w:pStyle w:val="ListParagraph"/>
        <w:numPr>
          <w:ilvl w:val="1"/>
          <w:numId w:val="6"/>
        </w:numPr>
        <w:spacing w:line="276" w:lineRule="auto"/>
        <w:ind w:left="1080"/>
      </w:pPr>
      <w:r w:rsidRPr="00FF04C5">
        <w:rPr>
          <w:i/>
          <w:iCs/>
          <w:u w:val="single"/>
        </w:rPr>
        <w:t>Permitted uses</w:t>
      </w:r>
      <w:r w:rsidR="00D23900" w:rsidRPr="00FF04C5">
        <w:rPr>
          <w:i/>
          <w:iCs/>
          <w:u w:val="single"/>
        </w:rPr>
        <w:t>:</w:t>
      </w:r>
      <w:r w:rsidR="003227E0">
        <w:t xml:space="preserve"> The following uses shall be permitted in the Commercial zoning area:</w:t>
      </w:r>
      <w:r w:rsidR="00FF04C5">
        <w:br/>
      </w:r>
    </w:p>
    <w:p w14:paraId="57A0920E" w14:textId="2FF37C50" w:rsidR="00A9145F" w:rsidRDefault="003227E0" w:rsidP="009E0A3B">
      <w:pPr>
        <w:pStyle w:val="ListParagraph"/>
        <w:numPr>
          <w:ilvl w:val="2"/>
          <w:numId w:val="6"/>
        </w:numPr>
        <w:spacing w:line="276" w:lineRule="auto"/>
        <w:ind w:left="1440"/>
      </w:pPr>
      <w:r>
        <w:t>All</w:t>
      </w:r>
      <w:r w:rsidR="006464FA">
        <w:t xml:space="preserve"> permitted and conditional uses within </w:t>
      </w:r>
      <w:r w:rsidR="00204622" w:rsidRPr="00B85F94">
        <w:t>§</w:t>
      </w:r>
      <w:r w:rsidR="00204622">
        <w:t>151.132</w:t>
      </w:r>
      <w:r w:rsidR="00D51DD9">
        <w:t xml:space="preserve"> </w:t>
      </w:r>
      <w:r w:rsidR="00D51DD9" w:rsidRPr="00D51DD9">
        <w:rPr>
          <w:i/>
          <w:iCs/>
        </w:rPr>
        <w:t>Neighborhood Commercial District</w:t>
      </w:r>
      <w:r w:rsidR="00D51DD9">
        <w:t xml:space="preserve">, </w:t>
      </w:r>
      <w:r w:rsidR="00465C16">
        <w:t xml:space="preserve">and </w:t>
      </w:r>
      <w:r w:rsidR="00B85F94" w:rsidRPr="00B85F94">
        <w:t>§</w:t>
      </w:r>
      <w:r w:rsidR="001F6B99">
        <w:t>151.</w:t>
      </w:r>
      <w:r w:rsidR="00204622">
        <w:t>133</w:t>
      </w:r>
      <w:r w:rsidR="00B85F94">
        <w:t xml:space="preserve"> </w:t>
      </w:r>
      <w:r w:rsidR="00B85F94" w:rsidRPr="00204622">
        <w:rPr>
          <w:i/>
          <w:iCs/>
        </w:rPr>
        <w:t>General Commercial Distric</w:t>
      </w:r>
      <w:r w:rsidR="00B85F94">
        <w:t>t</w:t>
      </w:r>
      <w:r w:rsidR="00465C16">
        <w:t xml:space="preserve"> of the City of Goose Creek Zoning Ordinance.</w:t>
      </w:r>
    </w:p>
    <w:p w14:paraId="21E9D046" w14:textId="77777777" w:rsidR="00612825" w:rsidRDefault="00612825" w:rsidP="001A3ED7">
      <w:pPr>
        <w:pStyle w:val="ListParagraph"/>
        <w:spacing w:line="276" w:lineRule="auto"/>
        <w:ind w:left="1440"/>
      </w:pPr>
    </w:p>
    <w:p w14:paraId="0E7DF76E" w14:textId="26EE39EE" w:rsidR="006468A8" w:rsidRDefault="00612825" w:rsidP="009E0A3B">
      <w:pPr>
        <w:pStyle w:val="ListParagraph"/>
        <w:numPr>
          <w:ilvl w:val="2"/>
          <w:numId w:val="6"/>
        </w:numPr>
        <w:spacing w:line="276" w:lineRule="auto"/>
        <w:ind w:left="1440"/>
      </w:pPr>
      <w:r>
        <w:t xml:space="preserve">Off-street parking </w:t>
      </w:r>
      <w:r w:rsidRPr="00612825">
        <w:t>as a principal use for providing for public parking, private parking, or parking in conjunction with other permitted uses provided surface parking meets all setback, yard, and other requirements.</w:t>
      </w:r>
    </w:p>
    <w:p w14:paraId="4C1ECE8E" w14:textId="77777777" w:rsidR="00A9145F" w:rsidRDefault="00A9145F" w:rsidP="001A3ED7">
      <w:pPr>
        <w:pStyle w:val="ListParagraph"/>
        <w:tabs>
          <w:tab w:val="left" w:pos="810"/>
        </w:tabs>
        <w:spacing w:line="276" w:lineRule="auto"/>
      </w:pPr>
    </w:p>
    <w:p w14:paraId="1AD38928" w14:textId="62A9141B" w:rsidR="00242140" w:rsidRPr="00A9145F" w:rsidRDefault="00242140" w:rsidP="009E0A3B">
      <w:pPr>
        <w:pStyle w:val="ListParagraph"/>
        <w:numPr>
          <w:ilvl w:val="0"/>
          <w:numId w:val="6"/>
        </w:numPr>
        <w:tabs>
          <w:tab w:val="left" w:pos="810"/>
        </w:tabs>
        <w:spacing w:line="276" w:lineRule="auto"/>
        <w:rPr>
          <w:rFonts w:ascii="Tenorite" w:hAnsi="Tenorite"/>
          <w:b/>
          <w:bCs/>
          <w:sz w:val="22"/>
        </w:rPr>
      </w:pPr>
      <w:r w:rsidRPr="00A9145F">
        <w:rPr>
          <w:rFonts w:ascii="Tenorite" w:hAnsi="Tenorite"/>
          <w:b/>
          <w:bCs/>
          <w:sz w:val="22"/>
        </w:rPr>
        <w:t>Industrial (I)</w:t>
      </w:r>
    </w:p>
    <w:p w14:paraId="3D556F42" w14:textId="572C82E5" w:rsidR="00A9145F" w:rsidRDefault="00A9145F" w:rsidP="001A3ED7">
      <w:pPr>
        <w:pStyle w:val="ListParagraph"/>
        <w:tabs>
          <w:tab w:val="left" w:pos="810"/>
        </w:tabs>
        <w:spacing w:line="276" w:lineRule="auto"/>
      </w:pPr>
      <w:r w:rsidRPr="00A9145F">
        <w:t>The Industrial zoning area is intended to provide areas for storage and transportation-related activities.</w:t>
      </w:r>
    </w:p>
    <w:p w14:paraId="3EDC4BFF" w14:textId="77777777" w:rsidR="00D23900" w:rsidRDefault="00D23900" w:rsidP="001A3ED7">
      <w:pPr>
        <w:pStyle w:val="ListParagraph"/>
        <w:tabs>
          <w:tab w:val="left" w:pos="810"/>
        </w:tabs>
        <w:spacing w:line="276" w:lineRule="auto"/>
      </w:pPr>
    </w:p>
    <w:p w14:paraId="12FA2ABD" w14:textId="3340DFD9" w:rsidR="00D23900" w:rsidRDefault="00D23900" w:rsidP="009E0A3B">
      <w:pPr>
        <w:pStyle w:val="ListParagraph"/>
        <w:numPr>
          <w:ilvl w:val="1"/>
          <w:numId w:val="6"/>
        </w:numPr>
        <w:spacing w:line="276" w:lineRule="auto"/>
        <w:ind w:left="1080"/>
      </w:pPr>
      <w:r w:rsidRPr="005566C2">
        <w:rPr>
          <w:i/>
          <w:iCs/>
          <w:u w:val="single"/>
        </w:rPr>
        <w:t>Permitted uses</w:t>
      </w:r>
      <w:r w:rsidR="005566C2" w:rsidRPr="005566C2">
        <w:rPr>
          <w:i/>
          <w:iCs/>
          <w:u w:val="single"/>
        </w:rPr>
        <w:t>:</w:t>
      </w:r>
      <w:r w:rsidR="005566C2">
        <w:t xml:space="preserve"> </w:t>
      </w:r>
      <w:r w:rsidR="005566C2" w:rsidRPr="005566C2">
        <w:t xml:space="preserve">The following uses shall be permitted in the </w:t>
      </w:r>
      <w:r w:rsidR="005566C2">
        <w:t>Industrial</w:t>
      </w:r>
      <w:r w:rsidR="005566C2" w:rsidRPr="005566C2">
        <w:t xml:space="preserve"> zoning area:</w:t>
      </w:r>
      <w:r w:rsidRPr="00A9145F">
        <w:t xml:space="preserve"> </w:t>
      </w:r>
    </w:p>
    <w:p w14:paraId="5AB844E5" w14:textId="77777777" w:rsidR="00FF04C5" w:rsidRDefault="00FF04C5" w:rsidP="001A3ED7">
      <w:pPr>
        <w:pStyle w:val="ListParagraph"/>
        <w:spacing w:line="276" w:lineRule="auto"/>
        <w:ind w:left="1080"/>
      </w:pPr>
    </w:p>
    <w:p w14:paraId="6AF41483" w14:textId="1A9A71E3" w:rsidR="00FF04C5" w:rsidRDefault="00FF04C5" w:rsidP="009E0A3B">
      <w:pPr>
        <w:pStyle w:val="ListParagraph"/>
        <w:numPr>
          <w:ilvl w:val="2"/>
          <w:numId w:val="6"/>
        </w:numPr>
        <w:spacing w:line="276" w:lineRule="auto"/>
        <w:ind w:left="1440"/>
      </w:pPr>
      <w:r>
        <w:t xml:space="preserve">All permitted and conditional uses within </w:t>
      </w:r>
      <w:r w:rsidR="004243DA" w:rsidRPr="00B85F94">
        <w:t>§</w:t>
      </w:r>
      <w:r w:rsidR="004243DA">
        <w:t xml:space="preserve">151.133 </w:t>
      </w:r>
      <w:r w:rsidR="004243DA" w:rsidRPr="00090084">
        <w:rPr>
          <w:i/>
          <w:iCs/>
        </w:rPr>
        <w:t>General Commercial District</w:t>
      </w:r>
      <w:r w:rsidR="004243DA">
        <w:t xml:space="preserve">, </w:t>
      </w:r>
      <w:r w:rsidR="004243DA" w:rsidRPr="00B85F94">
        <w:t>§</w:t>
      </w:r>
      <w:r w:rsidR="004243DA">
        <w:t>151.13</w:t>
      </w:r>
      <w:r w:rsidR="002279A9">
        <w:t xml:space="preserve">4 </w:t>
      </w:r>
      <w:r w:rsidR="002279A9" w:rsidRPr="00090084">
        <w:rPr>
          <w:i/>
          <w:iCs/>
        </w:rPr>
        <w:t>Heavy Industrial District</w:t>
      </w:r>
      <w:r w:rsidR="002279A9">
        <w:t xml:space="preserve">, and </w:t>
      </w:r>
      <w:r w:rsidR="002279A9" w:rsidRPr="00B85F94">
        <w:t>§</w:t>
      </w:r>
      <w:r w:rsidR="002279A9">
        <w:t xml:space="preserve">151.135 </w:t>
      </w:r>
      <w:r w:rsidR="002279A9" w:rsidRPr="00090084">
        <w:rPr>
          <w:i/>
          <w:iCs/>
        </w:rPr>
        <w:t xml:space="preserve">Light Industrial District </w:t>
      </w:r>
      <w:r w:rsidR="002279A9">
        <w:t>of the City of Goose Creek Zoning Ordinance.</w:t>
      </w:r>
    </w:p>
    <w:p w14:paraId="30215B5D" w14:textId="77777777" w:rsidR="00C629C6" w:rsidRDefault="00C629C6" w:rsidP="001A3ED7">
      <w:pPr>
        <w:pStyle w:val="ListParagraph"/>
        <w:spacing w:line="276" w:lineRule="auto"/>
        <w:ind w:left="1440"/>
      </w:pPr>
    </w:p>
    <w:p w14:paraId="6522AA64" w14:textId="77777777" w:rsidR="00C629C6" w:rsidRDefault="00C629C6" w:rsidP="009E0A3B">
      <w:pPr>
        <w:pStyle w:val="ListParagraph"/>
        <w:numPr>
          <w:ilvl w:val="2"/>
          <w:numId w:val="6"/>
        </w:numPr>
        <w:spacing w:line="276" w:lineRule="auto"/>
        <w:ind w:left="1440"/>
      </w:pPr>
      <w:r w:rsidRPr="00C629C6">
        <w:t>Off-street parking as a principal use for providing for public parking, private parking, or parking in conjunction with other permitted uses provided surface parking meets all setback, yard, and other requirements.</w:t>
      </w:r>
    </w:p>
    <w:p w14:paraId="7F8E2F01" w14:textId="77777777" w:rsidR="001B6FEB" w:rsidRDefault="001B6FEB" w:rsidP="001A3ED7">
      <w:pPr>
        <w:pStyle w:val="ListParagraph"/>
        <w:spacing w:line="276" w:lineRule="auto"/>
      </w:pPr>
    </w:p>
    <w:p w14:paraId="02E75400" w14:textId="19097E47" w:rsidR="001B6FEB" w:rsidRDefault="001B6FEB" w:rsidP="009E0A3B">
      <w:pPr>
        <w:pStyle w:val="ListParagraph"/>
        <w:numPr>
          <w:ilvl w:val="2"/>
          <w:numId w:val="6"/>
        </w:numPr>
        <w:spacing w:line="276" w:lineRule="auto"/>
        <w:ind w:left="1440"/>
      </w:pPr>
      <w:r>
        <w:t>Yards for container storage with the ability to stack containers no more than six (6) containers high</w:t>
      </w:r>
      <w:r w:rsidR="00BE54AC">
        <w:t>.</w:t>
      </w:r>
    </w:p>
    <w:p w14:paraId="7B998B9E" w14:textId="77777777" w:rsidR="00BE54AC" w:rsidRDefault="00BE54AC" w:rsidP="001A3ED7">
      <w:pPr>
        <w:pStyle w:val="ListParagraph"/>
        <w:spacing w:line="276" w:lineRule="auto"/>
      </w:pPr>
    </w:p>
    <w:p w14:paraId="49B20393" w14:textId="5D8EB69A" w:rsidR="001225C6" w:rsidRDefault="001225C6" w:rsidP="009E0A3B">
      <w:pPr>
        <w:pStyle w:val="ListParagraph"/>
        <w:numPr>
          <w:ilvl w:val="2"/>
          <w:numId w:val="6"/>
        </w:numPr>
        <w:spacing w:line="276" w:lineRule="auto"/>
        <w:ind w:left="1440"/>
      </w:pPr>
      <w:r w:rsidRPr="001225C6">
        <w:t>Tow yards, open storage of junk or salvage materials or processing or recycling of such materials, inclusive of uses engaged in the processing, collection, and transfer of recyclable materials</w:t>
      </w:r>
    </w:p>
    <w:p w14:paraId="4D400009" w14:textId="77777777" w:rsidR="001225C6" w:rsidRDefault="001225C6" w:rsidP="001A3ED7">
      <w:pPr>
        <w:pStyle w:val="ListParagraph"/>
        <w:spacing w:line="276" w:lineRule="auto"/>
      </w:pPr>
    </w:p>
    <w:p w14:paraId="420EC347" w14:textId="15D65C91" w:rsidR="001225C6" w:rsidRDefault="001225C6" w:rsidP="001A0CC9">
      <w:pPr>
        <w:pStyle w:val="ListParagraph"/>
        <w:numPr>
          <w:ilvl w:val="2"/>
          <w:numId w:val="6"/>
        </w:numPr>
        <w:spacing w:line="276" w:lineRule="auto"/>
        <w:ind w:left="1440"/>
      </w:pPr>
      <w:r>
        <w:t>U</w:t>
      </w:r>
      <w:r w:rsidR="00C472FE" w:rsidRPr="00C472FE">
        <w:t>ses involving the processing of solid bulk materials, such as gravel, crushed stone, and sand, stored in the open</w:t>
      </w:r>
    </w:p>
    <w:p w14:paraId="5F04466E" w14:textId="77777777" w:rsidR="001225C6" w:rsidRPr="00C629C6" w:rsidRDefault="001225C6" w:rsidP="001A3ED7">
      <w:pPr>
        <w:pStyle w:val="ListParagraph"/>
        <w:spacing w:line="276" w:lineRule="auto"/>
        <w:ind w:left="1440"/>
      </w:pPr>
    </w:p>
    <w:p w14:paraId="293E91CE" w14:textId="71FB7FF2" w:rsidR="00242140" w:rsidRPr="00A9145F" w:rsidRDefault="00242140" w:rsidP="009E0A3B">
      <w:pPr>
        <w:pStyle w:val="ListParagraph"/>
        <w:numPr>
          <w:ilvl w:val="0"/>
          <w:numId w:val="6"/>
        </w:numPr>
        <w:tabs>
          <w:tab w:val="left" w:pos="810"/>
        </w:tabs>
        <w:spacing w:line="276" w:lineRule="auto"/>
        <w:rPr>
          <w:rFonts w:ascii="Tenorite" w:hAnsi="Tenorite"/>
          <w:b/>
          <w:bCs/>
          <w:sz w:val="22"/>
        </w:rPr>
      </w:pPr>
      <w:r w:rsidRPr="00A9145F">
        <w:rPr>
          <w:rFonts w:ascii="Tenorite" w:hAnsi="Tenorite"/>
          <w:b/>
          <w:bCs/>
          <w:sz w:val="22"/>
        </w:rPr>
        <w:t>Preservation (P)</w:t>
      </w:r>
    </w:p>
    <w:p w14:paraId="59AEBC0E" w14:textId="0E6EF4EF" w:rsidR="00A9145F" w:rsidRDefault="00A9145F" w:rsidP="001A3ED7">
      <w:pPr>
        <w:pStyle w:val="ListParagraph"/>
        <w:tabs>
          <w:tab w:val="left" w:pos="810"/>
        </w:tabs>
        <w:spacing w:line="276" w:lineRule="auto"/>
      </w:pPr>
      <w:r w:rsidRPr="00A9145F">
        <w:t>The Preservation zoning area is intended to preserve and protect environmental resources in the area, and provide screening, buffering, mitigation for tree cutting, and stormwater management while preserving the natural features of the area.</w:t>
      </w:r>
    </w:p>
    <w:p w14:paraId="12B13D15" w14:textId="77777777" w:rsidR="00D23900" w:rsidRDefault="00D23900" w:rsidP="001A3ED7">
      <w:pPr>
        <w:pStyle w:val="ListParagraph"/>
        <w:tabs>
          <w:tab w:val="left" w:pos="810"/>
        </w:tabs>
        <w:spacing w:line="276" w:lineRule="auto"/>
      </w:pPr>
    </w:p>
    <w:p w14:paraId="5850139A" w14:textId="1D79CF01" w:rsidR="00D23900" w:rsidRDefault="00D23900" w:rsidP="009E0A3B">
      <w:pPr>
        <w:pStyle w:val="ListParagraph"/>
        <w:numPr>
          <w:ilvl w:val="1"/>
          <w:numId w:val="6"/>
        </w:numPr>
        <w:spacing w:line="276" w:lineRule="auto"/>
        <w:ind w:left="1080"/>
      </w:pPr>
      <w:r w:rsidRPr="00E073D4">
        <w:rPr>
          <w:i/>
          <w:iCs/>
          <w:u w:val="single"/>
        </w:rPr>
        <w:t>Permitted uses</w:t>
      </w:r>
      <w:r w:rsidR="00E073D4" w:rsidRPr="00E073D4">
        <w:rPr>
          <w:i/>
          <w:iCs/>
          <w:u w:val="single"/>
        </w:rPr>
        <w:t>:</w:t>
      </w:r>
      <w:r w:rsidR="00E073D4">
        <w:t xml:space="preserve"> </w:t>
      </w:r>
      <w:r w:rsidR="00E073D4" w:rsidRPr="00E073D4">
        <w:t>The following uses shall be permitted in the Preservation zoning area:</w:t>
      </w:r>
    </w:p>
    <w:p w14:paraId="3EA9FD28" w14:textId="77777777" w:rsidR="00E073D4" w:rsidRDefault="00E073D4" w:rsidP="001A3ED7">
      <w:pPr>
        <w:pStyle w:val="ListParagraph"/>
        <w:spacing w:line="276" w:lineRule="auto"/>
        <w:ind w:left="1080"/>
      </w:pPr>
    </w:p>
    <w:p w14:paraId="3E4FFBE6" w14:textId="77777777" w:rsidR="00E073D4" w:rsidRDefault="00E073D4" w:rsidP="009E0A3B">
      <w:pPr>
        <w:pStyle w:val="ListParagraph"/>
        <w:numPr>
          <w:ilvl w:val="2"/>
          <w:numId w:val="6"/>
        </w:numPr>
        <w:spacing w:line="276" w:lineRule="auto"/>
        <w:ind w:left="1440"/>
      </w:pPr>
      <w:r w:rsidRPr="00E073D4">
        <w:t>Drainage facilities including stormwater detention ponds for all development within the PDD, provided they do not require the filling of wetlands.</w:t>
      </w:r>
    </w:p>
    <w:p w14:paraId="5A104B7D" w14:textId="77777777" w:rsidR="009C031F" w:rsidRDefault="009C031F" w:rsidP="001A3ED7">
      <w:pPr>
        <w:pStyle w:val="ListParagraph"/>
        <w:spacing w:line="276" w:lineRule="auto"/>
        <w:ind w:left="1440"/>
      </w:pPr>
    </w:p>
    <w:p w14:paraId="056A4119" w14:textId="5BA9D701" w:rsidR="00D23900" w:rsidRDefault="00E073D4" w:rsidP="009E0A3B">
      <w:pPr>
        <w:pStyle w:val="ListParagraph"/>
        <w:numPr>
          <w:ilvl w:val="2"/>
          <w:numId w:val="6"/>
        </w:numPr>
        <w:spacing w:line="276" w:lineRule="auto"/>
        <w:ind w:left="1440"/>
      </w:pPr>
      <w:r w:rsidRPr="00E073D4">
        <w:t>Landscaping additions where natural vegetation may be absent or insufficient for screening.</w:t>
      </w:r>
      <w:r w:rsidR="001A0CC9">
        <w:br/>
      </w:r>
    </w:p>
    <w:p w14:paraId="683EAC18" w14:textId="089D40AE" w:rsidR="00545606" w:rsidRDefault="00545606" w:rsidP="009E0A3B">
      <w:pPr>
        <w:pStyle w:val="Heading2"/>
        <w:numPr>
          <w:ilvl w:val="0"/>
          <w:numId w:val="5"/>
        </w:numPr>
        <w:spacing w:line="276" w:lineRule="auto"/>
      </w:pPr>
      <w:bookmarkStart w:id="18" w:name="_Toc149731089"/>
      <w:r>
        <w:t xml:space="preserve">LAND </w:t>
      </w:r>
      <w:r w:rsidR="00240023">
        <w:t>U</w:t>
      </w:r>
      <w:r>
        <w:t>SE</w:t>
      </w:r>
      <w:bookmarkEnd w:id="18"/>
    </w:p>
    <w:p w14:paraId="151F9399" w14:textId="3C227106" w:rsidR="00791505" w:rsidRDefault="00791505" w:rsidP="001A3ED7">
      <w:pPr>
        <w:spacing w:line="276" w:lineRule="auto"/>
        <w:ind w:left="360"/>
      </w:pPr>
      <w:r w:rsidRPr="00791505">
        <w:t xml:space="preserve">The areas in this table are conceptual in nature and are based on the Conceptual Site Plan found in Appendix </w:t>
      </w:r>
      <w:r w:rsidR="003B4F1E">
        <w:t>5</w:t>
      </w:r>
      <w:r w:rsidRPr="00791505">
        <w:t xml:space="preserve">.  </w:t>
      </w:r>
    </w:p>
    <w:tbl>
      <w:tblPr>
        <w:tblStyle w:val="TableGrid"/>
        <w:tblW w:w="0" w:type="auto"/>
        <w:tblInd w:w="355" w:type="dxa"/>
        <w:tblLook w:val="04A0" w:firstRow="1" w:lastRow="0" w:firstColumn="1" w:lastColumn="0" w:noHBand="0" w:noVBand="1"/>
      </w:tblPr>
      <w:tblGrid>
        <w:gridCol w:w="4320"/>
        <w:gridCol w:w="4675"/>
      </w:tblGrid>
      <w:tr w:rsidR="00AB4240" w14:paraId="14701E4B" w14:textId="77777777" w:rsidTr="004679B5">
        <w:trPr>
          <w:trHeight w:val="374"/>
        </w:trPr>
        <w:tc>
          <w:tcPr>
            <w:tcW w:w="8995" w:type="dxa"/>
            <w:gridSpan w:val="2"/>
            <w:shd w:val="clear" w:color="auto" w:fill="D9E2F3" w:themeFill="accent1" w:themeFillTint="33"/>
            <w:vAlign w:val="center"/>
          </w:tcPr>
          <w:p w14:paraId="707004AC" w14:textId="77777777" w:rsidR="00AB4240" w:rsidRPr="008A618C" w:rsidRDefault="00AB4240" w:rsidP="001A3ED7">
            <w:pPr>
              <w:spacing w:line="276" w:lineRule="auto"/>
              <w:contextualSpacing/>
              <w:rPr>
                <w:rFonts w:ascii="Tenorite" w:hAnsi="Tenorite"/>
                <w:b/>
                <w:bCs/>
                <w:sz w:val="22"/>
                <w:szCs w:val="24"/>
              </w:rPr>
            </w:pPr>
            <w:r w:rsidRPr="008A618C">
              <w:rPr>
                <w:rFonts w:ascii="Tenorite" w:hAnsi="Tenorite"/>
                <w:b/>
                <w:bCs/>
                <w:sz w:val="22"/>
                <w:szCs w:val="24"/>
              </w:rPr>
              <w:t>EXISTING LAND USE</w:t>
            </w:r>
          </w:p>
        </w:tc>
      </w:tr>
      <w:tr w:rsidR="00AB4240" w:rsidRPr="00C330AF" w14:paraId="274D2431" w14:textId="77777777" w:rsidTr="004679B5">
        <w:trPr>
          <w:trHeight w:val="374"/>
        </w:trPr>
        <w:tc>
          <w:tcPr>
            <w:tcW w:w="4320" w:type="dxa"/>
            <w:shd w:val="clear" w:color="auto" w:fill="auto"/>
            <w:vAlign w:val="center"/>
          </w:tcPr>
          <w:p w14:paraId="2C46D4A0" w14:textId="77777777" w:rsidR="00AB4240" w:rsidRPr="00C330AF" w:rsidRDefault="00AB4240" w:rsidP="001A3ED7">
            <w:pPr>
              <w:spacing w:line="276" w:lineRule="auto"/>
              <w:contextualSpacing/>
            </w:pPr>
            <w:r w:rsidRPr="00C330AF">
              <w:t>Vacant/Forested.</w:t>
            </w:r>
          </w:p>
        </w:tc>
        <w:tc>
          <w:tcPr>
            <w:tcW w:w="4675" w:type="dxa"/>
            <w:shd w:val="clear" w:color="auto" w:fill="auto"/>
            <w:vAlign w:val="center"/>
          </w:tcPr>
          <w:p w14:paraId="3457CC80" w14:textId="77777777" w:rsidR="00AB4240" w:rsidRPr="00C330AF" w:rsidRDefault="00AB4240" w:rsidP="001A3ED7">
            <w:pPr>
              <w:spacing w:line="276" w:lineRule="auto"/>
              <w:contextualSpacing/>
            </w:pPr>
            <w:r w:rsidRPr="00C330AF">
              <w:t>50.65acres</w:t>
            </w:r>
          </w:p>
        </w:tc>
      </w:tr>
      <w:tr w:rsidR="00AB4240" w14:paraId="18967C67" w14:textId="77777777" w:rsidTr="004679B5">
        <w:trPr>
          <w:trHeight w:val="374"/>
        </w:trPr>
        <w:tc>
          <w:tcPr>
            <w:tcW w:w="8995" w:type="dxa"/>
            <w:gridSpan w:val="2"/>
            <w:shd w:val="clear" w:color="auto" w:fill="D9E2F3" w:themeFill="accent1" w:themeFillTint="33"/>
            <w:vAlign w:val="center"/>
          </w:tcPr>
          <w:p w14:paraId="55722F89" w14:textId="77777777" w:rsidR="00AB4240" w:rsidRPr="008A618C" w:rsidRDefault="00AB4240" w:rsidP="001A3ED7">
            <w:pPr>
              <w:spacing w:line="276" w:lineRule="auto"/>
              <w:contextualSpacing/>
              <w:rPr>
                <w:rFonts w:ascii="Tenorite" w:hAnsi="Tenorite"/>
                <w:b/>
                <w:bCs/>
                <w:sz w:val="22"/>
                <w:szCs w:val="24"/>
              </w:rPr>
            </w:pPr>
            <w:r w:rsidRPr="008A618C">
              <w:rPr>
                <w:rFonts w:ascii="Tenorite" w:hAnsi="Tenorite"/>
                <w:b/>
                <w:bCs/>
                <w:sz w:val="22"/>
                <w:szCs w:val="24"/>
              </w:rPr>
              <w:t>PROPOSED LAND USE</w:t>
            </w:r>
          </w:p>
        </w:tc>
      </w:tr>
      <w:tr w:rsidR="00AB4240" w14:paraId="1FCBF7BD" w14:textId="77777777" w:rsidTr="004679B5">
        <w:trPr>
          <w:trHeight w:val="374"/>
        </w:trPr>
        <w:tc>
          <w:tcPr>
            <w:tcW w:w="4320" w:type="dxa"/>
            <w:vAlign w:val="center"/>
          </w:tcPr>
          <w:p w14:paraId="602F48E4" w14:textId="77777777" w:rsidR="00AB4240" w:rsidRPr="00550BE3" w:rsidRDefault="00AB4240" w:rsidP="001A3ED7">
            <w:pPr>
              <w:spacing w:line="276" w:lineRule="auto"/>
              <w:contextualSpacing/>
            </w:pPr>
            <w:r w:rsidRPr="00550BE3">
              <w:t>Commercial</w:t>
            </w:r>
          </w:p>
        </w:tc>
        <w:tc>
          <w:tcPr>
            <w:tcW w:w="4675" w:type="dxa"/>
            <w:vAlign w:val="center"/>
          </w:tcPr>
          <w:p w14:paraId="110C4BFE" w14:textId="77777777" w:rsidR="00AB4240" w:rsidRPr="00550BE3" w:rsidRDefault="00AB4240" w:rsidP="001A3ED7">
            <w:pPr>
              <w:spacing w:line="276" w:lineRule="auto"/>
              <w:contextualSpacing/>
            </w:pPr>
            <w:r>
              <w:t>4.7 acres</w:t>
            </w:r>
          </w:p>
        </w:tc>
      </w:tr>
      <w:tr w:rsidR="00AB4240" w14:paraId="36BD3BB2" w14:textId="77777777" w:rsidTr="004679B5">
        <w:trPr>
          <w:trHeight w:val="374"/>
        </w:trPr>
        <w:tc>
          <w:tcPr>
            <w:tcW w:w="4320" w:type="dxa"/>
            <w:vAlign w:val="center"/>
          </w:tcPr>
          <w:p w14:paraId="6EEBC46E" w14:textId="77777777" w:rsidR="00AB4240" w:rsidRPr="00550BE3" w:rsidRDefault="00AB4240" w:rsidP="001A3ED7">
            <w:pPr>
              <w:spacing w:line="276" w:lineRule="auto"/>
              <w:contextualSpacing/>
            </w:pPr>
            <w:r w:rsidRPr="00550BE3">
              <w:t>Industrial</w:t>
            </w:r>
          </w:p>
        </w:tc>
        <w:tc>
          <w:tcPr>
            <w:tcW w:w="4675" w:type="dxa"/>
            <w:vAlign w:val="center"/>
          </w:tcPr>
          <w:p w14:paraId="65DBA7B2" w14:textId="77777777" w:rsidR="00AB4240" w:rsidRPr="00550BE3" w:rsidRDefault="00AB4240" w:rsidP="001A3ED7">
            <w:pPr>
              <w:spacing w:line="276" w:lineRule="auto"/>
              <w:contextualSpacing/>
            </w:pPr>
            <w:r w:rsidRPr="00550BE3">
              <w:t>4</w:t>
            </w:r>
            <w:r>
              <w:t>1.9 acres</w:t>
            </w:r>
          </w:p>
        </w:tc>
      </w:tr>
      <w:tr w:rsidR="00AB4240" w14:paraId="506996B2" w14:textId="77777777" w:rsidTr="004679B5">
        <w:trPr>
          <w:trHeight w:val="374"/>
        </w:trPr>
        <w:tc>
          <w:tcPr>
            <w:tcW w:w="4320" w:type="dxa"/>
            <w:vAlign w:val="center"/>
          </w:tcPr>
          <w:p w14:paraId="14A7E1F3" w14:textId="77777777" w:rsidR="00AB4240" w:rsidRPr="00550BE3" w:rsidRDefault="00AB4240" w:rsidP="001A3ED7">
            <w:pPr>
              <w:spacing w:line="276" w:lineRule="auto"/>
              <w:contextualSpacing/>
            </w:pPr>
            <w:r w:rsidRPr="00550BE3">
              <w:t>Preservation</w:t>
            </w:r>
          </w:p>
        </w:tc>
        <w:tc>
          <w:tcPr>
            <w:tcW w:w="4675" w:type="dxa"/>
            <w:vAlign w:val="center"/>
          </w:tcPr>
          <w:p w14:paraId="0793E94B" w14:textId="77777777" w:rsidR="00AB4240" w:rsidRPr="00550BE3" w:rsidRDefault="00AB4240" w:rsidP="001A3ED7">
            <w:pPr>
              <w:spacing w:line="276" w:lineRule="auto"/>
              <w:contextualSpacing/>
            </w:pPr>
            <w:r w:rsidRPr="00550BE3">
              <w:t>2.</w:t>
            </w:r>
            <w:r>
              <w:t>5 acres</w:t>
            </w:r>
          </w:p>
        </w:tc>
      </w:tr>
    </w:tbl>
    <w:p w14:paraId="41ABA1EE" w14:textId="77777777" w:rsidR="00AB4240" w:rsidRDefault="00AB4240" w:rsidP="001A3ED7">
      <w:pPr>
        <w:spacing w:line="276" w:lineRule="auto"/>
        <w:ind w:left="360"/>
      </w:pPr>
    </w:p>
    <w:p w14:paraId="36654D1E" w14:textId="52EFBAD8" w:rsidR="00964E44" w:rsidRDefault="00964E44" w:rsidP="001A3ED7">
      <w:pPr>
        <w:pStyle w:val="Heading1"/>
        <w:spacing w:line="276" w:lineRule="auto"/>
      </w:pPr>
      <w:bookmarkStart w:id="19" w:name="_Toc149731090"/>
      <w:r>
        <w:lastRenderedPageBreak/>
        <w:t>Development Standards</w:t>
      </w:r>
      <w:bookmarkEnd w:id="19"/>
    </w:p>
    <w:p w14:paraId="1069D57F" w14:textId="2B828B67" w:rsidR="00964E44" w:rsidRDefault="00964E44" w:rsidP="009E0A3B">
      <w:pPr>
        <w:pStyle w:val="Heading2"/>
        <w:numPr>
          <w:ilvl w:val="0"/>
          <w:numId w:val="7"/>
        </w:numPr>
        <w:spacing w:line="276" w:lineRule="auto"/>
      </w:pPr>
      <w:bookmarkStart w:id="20" w:name="_Toc149731091"/>
      <w:r>
        <w:t>Lots</w:t>
      </w:r>
      <w:bookmarkEnd w:id="20"/>
    </w:p>
    <w:p w14:paraId="7789757B" w14:textId="4AC48921" w:rsidR="00964E44" w:rsidRDefault="00964E44" w:rsidP="009E0A3B">
      <w:pPr>
        <w:pStyle w:val="ListParagraph"/>
        <w:numPr>
          <w:ilvl w:val="0"/>
          <w:numId w:val="8"/>
        </w:numPr>
        <w:spacing w:line="276" w:lineRule="auto"/>
      </w:pPr>
      <w:r>
        <w:t>Minimum lot widths, lot area, and frontage shall be as provided in the following table:</w:t>
      </w:r>
    </w:p>
    <w:tbl>
      <w:tblPr>
        <w:tblStyle w:val="TableGrid"/>
        <w:tblW w:w="0" w:type="auto"/>
        <w:tblInd w:w="805" w:type="dxa"/>
        <w:tblLook w:val="04A0" w:firstRow="1" w:lastRow="0" w:firstColumn="1" w:lastColumn="0" w:noHBand="0" w:noVBand="1"/>
      </w:tblPr>
      <w:tblGrid>
        <w:gridCol w:w="2070"/>
        <w:gridCol w:w="2113"/>
        <w:gridCol w:w="2113"/>
        <w:gridCol w:w="2249"/>
      </w:tblGrid>
      <w:tr w:rsidR="00CA0E9A" w14:paraId="4ACD1C03" w14:textId="77777777" w:rsidTr="00CA6B6F">
        <w:trPr>
          <w:trHeight w:val="557"/>
        </w:trPr>
        <w:tc>
          <w:tcPr>
            <w:tcW w:w="2070" w:type="dxa"/>
            <w:shd w:val="clear" w:color="auto" w:fill="D9E2F3" w:themeFill="accent1" w:themeFillTint="33"/>
            <w:vAlign w:val="center"/>
          </w:tcPr>
          <w:p w14:paraId="79804C20" w14:textId="77777777" w:rsidR="00CA0E9A" w:rsidRDefault="00CA0E9A" w:rsidP="001A3ED7">
            <w:pPr>
              <w:spacing w:line="276" w:lineRule="auto"/>
              <w:contextualSpacing/>
              <w:jc w:val="center"/>
            </w:pPr>
            <w:r>
              <w:rPr>
                <w:rFonts w:ascii="Tenorite" w:hAnsi="Tenorite"/>
                <w:b/>
                <w:bCs/>
                <w:sz w:val="22"/>
                <w:szCs w:val="24"/>
              </w:rPr>
              <w:t>Land Use Area</w:t>
            </w:r>
          </w:p>
        </w:tc>
        <w:tc>
          <w:tcPr>
            <w:tcW w:w="2113" w:type="dxa"/>
            <w:shd w:val="clear" w:color="auto" w:fill="D9E2F3" w:themeFill="accent1" w:themeFillTint="33"/>
            <w:vAlign w:val="center"/>
          </w:tcPr>
          <w:p w14:paraId="49F55EB0" w14:textId="77777777" w:rsidR="00CA0E9A" w:rsidRDefault="00CA0E9A" w:rsidP="001A3ED7">
            <w:pPr>
              <w:spacing w:line="276" w:lineRule="auto"/>
              <w:contextualSpacing/>
              <w:jc w:val="center"/>
              <w:rPr>
                <w:rFonts w:ascii="Tenorite" w:hAnsi="Tenorite"/>
                <w:b/>
                <w:bCs/>
                <w:sz w:val="22"/>
                <w:szCs w:val="24"/>
              </w:rPr>
            </w:pPr>
            <w:r>
              <w:rPr>
                <w:rFonts w:ascii="Tenorite" w:hAnsi="Tenorite"/>
                <w:b/>
                <w:bCs/>
                <w:sz w:val="22"/>
                <w:szCs w:val="24"/>
              </w:rPr>
              <w:t>Min. Lot Area</w:t>
            </w:r>
          </w:p>
          <w:p w14:paraId="653E518A" w14:textId="77777777" w:rsidR="00CA0E9A" w:rsidRDefault="00CA0E9A" w:rsidP="001A3ED7">
            <w:pPr>
              <w:spacing w:line="276" w:lineRule="auto"/>
              <w:contextualSpacing/>
              <w:jc w:val="center"/>
            </w:pPr>
            <w:r w:rsidRPr="00CA3988">
              <w:rPr>
                <w:sz w:val="18"/>
                <w:szCs w:val="18"/>
              </w:rPr>
              <w:t>(square feet)</w:t>
            </w:r>
          </w:p>
        </w:tc>
        <w:tc>
          <w:tcPr>
            <w:tcW w:w="2113" w:type="dxa"/>
            <w:shd w:val="clear" w:color="auto" w:fill="D9E2F3" w:themeFill="accent1" w:themeFillTint="33"/>
            <w:vAlign w:val="center"/>
          </w:tcPr>
          <w:p w14:paraId="22CAFF8A" w14:textId="77777777" w:rsidR="00CA0E9A" w:rsidRDefault="00CA0E9A" w:rsidP="001A3ED7">
            <w:pPr>
              <w:spacing w:line="276" w:lineRule="auto"/>
              <w:contextualSpacing/>
              <w:jc w:val="center"/>
              <w:rPr>
                <w:rFonts w:ascii="Tenorite" w:hAnsi="Tenorite"/>
                <w:b/>
                <w:bCs/>
                <w:sz w:val="22"/>
                <w:szCs w:val="24"/>
              </w:rPr>
            </w:pPr>
            <w:r>
              <w:rPr>
                <w:rFonts w:ascii="Tenorite" w:hAnsi="Tenorite"/>
                <w:b/>
                <w:bCs/>
                <w:sz w:val="22"/>
                <w:szCs w:val="24"/>
              </w:rPr>
              <w:t>Min. Lot Width</w:t>
            </w:r>
          </w:p>
          <w:p w14:paraId="60BA13E4" w14:textId="77777777" w:rsidR="00CA0E9A" w:rsidRPr="00CA3988" w:rsidRDefault="00CA0E9A" w:rsidP="001A3ED7">
            <w:pPr>
              <w:spacing w:line="276" w:lineRule="auto"/>
              <w:contextualSpacing/>
              <w:jc w:val="center"/>
              <w:rPr>
                <w:sz w:val="18"/>
                <w:szCs w:val="18"/>
              </w:rPr>
            </w:pPr>
            <w:r w:rsidRPr="00CA3988">
              <w:rPr>
                <w:sz w:val="18"/>
                <w:szCs w:val="18"/>
              </w:rPr>
              <w:t>(feet)</w:t>
            </w:r>
          </w:p>
        </w:tc>
        <w:tc>
          <w:tcPr>
            <w:tcW w:w="2249" w:type="dxa"/>
            <w:shd w:val="clear" w:color="auto" w:fill="D9E2F3" w:themeFill="accent1" w:themeFillTint="33"/>
            <w:vAlign w:val="center"/>
          </w:tcPr>
          <w:p w14:paraId="5D9A0BF6" w14:textId="77777777" w:rsidR="00CA0E9A" w:rsidRDefault="00CA0E9A" w:rsidP="001A3ED7">
            <w:pPr>
              <w:spacing w:line="276" w:lineRule="auto"/>
              <w:contextualSpacing/>
              <w:jc w:val="center"/>
              <w:rPr>
                <w:rFonts w:ascii="Tenorite" w:hAnsi="Tenorite"/>
                <w:b/>
                <w:bCs/>
                <w:sz w:val="22"/>
                <w:szCs w:val="24"/>
              </w:rPr>
            </w:pPr>
            <w:r>
              <w:rPr>
                <w:rFonts w:ascii="Tenorite" w:hAnsi="Tenorite"/>
                <w:b/>
                <w:bCs/>
                <w:sz w:val="22"/>
                <w:szCs w:val="24"/>
              </w:rPr>
              <w:t>Min. Street Frontage</w:t>
            </w:r>
          </w:p>
          <w:p w14:paraId="79C9B90D" w14:textId="77777777" w:rsidR="00CA0E9A" w:rsidRDefault="00CA0E9A" w:rsidP="001A3ED7">
            <w:pPr>
              <w:spacing w:line="276" w:lineRule="auto"/>
              <w:contextualSpacing/>
              <w:jc w:val="center"/>
            </w:pPr>
            <w:r w:rsidRPr="00CA3988">
              <w:rPr>
                <w:sz w:val="18"/>
                <w:szCs w:val="18"/>
              </w:rPr>
              <w:t>(</w:t>
            </w:r>
            <w:r>
              <w:rPr>
                <w:sz w:val="18"/>
                <w:szCs w:val="18"/>
              </w:rPr>
              <w:t>feet</w:t>
            </w:r>
            <w:r w:rsidRPr="00CA3988">
              <w:rPr>
                <w:sz w:val="18"/>
                <w:szCs w:val="18"/>
              </w:rPr>
              <w:t>)</w:t>
            </w:r>
          </w:p>
        </w:tc>
      </w:tr>
      <w:tr w:rsidR="00CA0E9A" w14:paraId="1F31492A" w14:textId="77777777" w:rsidTr="00CA6B6F">
        <w:trPr>
          <w:trHeight w:val="371"/>
        </w:trPr>
        <w:tc>
          <w:tcPr>
            <w:tcW w:w="2070" w:type="dxa"/>
            <w:vAlign w:val="center"/>
          </w:tcPr>
          <w:p w14:paraId="39B87555" w14:textId="77777777" w:rsidR="00CA0E9A" w:rsidRDefault="00CA0E9A" w:rsidP="001A3ED7">
            <w:pPr>
              <w:spacing w:line="276" w:lineRule="auto"/>
              <w:contextualSpacing/>
              <w:jc w:val="center"/>
            </w:pPr>
            <w:r>
              <w:t>Commercial</w:t>
            </w:r>
          </w:p>
        </w:tc>
        <w:tc>
          <w:tcPr>
            <w:tcW w:w="2113" w:type="dxa"/>
            <w:vAlign w:val="center"/>
          </w:tcPr>
          <w:p w14:paraId="747A1A56" w14:textId="77777777" w:rsidR="00CA0E9A" w:rsidRDefault="00CA0E9A" w:rsidP="001A3ED7">
            <w:pPr>
              <w:spacing w:line="276" w:lineRule="auto"/>
              <w:contextualSpacing/>
              <w:jc w:val="center"/>
            </w:pPr>
            <w:r>
              <w:t>12,000</w:t>
            </w:r>
          </w:p>
        </w:tc>
        <w:tc>
          <w:tcPr>
            <w:tcW w:w="2113" w:type="dxa"/>
            <w:vAlign w:val="center"/>
          </w:tcPr>
          <w:p w14:paraId="0B515AFE" w14:textId="77777777" w:rsidR="00CA0E9A" w:rsidRDefault="00CA0E9A" w:rsidP="001A3ED7">
            <w:pPr>
              <w:spacing w:line="276" w:lineRule="auto"/>
              <w:contextualSpacing/>
              <w:jc w:val="center"/>
            </w:pPr>
            <w:r>
              <w:t>80</w:t>
            </w:r>
          </w:p>
        </w:tc>
        <w:tc>
          <w:tcPr>
            <w:tcW w:w="2249" w:type="dxa"/>
            <w:vAlign w:val="center"/>
          </w:tcPr>
          <w:p w14:paraId="4B1C7E97" w14:textId="77777777" w:rsidR="00CA0E9A" w:rsidRDefault="00CA0E9A" w:rsidP="001A3ED7">
            <w:pPr>
              <w:spacing w:line="276" w:lineRule="auto"/>
              <w:contextualSpacing/>
              <w:jc w:val="center"/>
            </w:pPr>
            <w:r>
              <w:t>50</w:t>
            </w:r>
          </w:p>
        </w:tc>
      </w:tr>
      <w:tr w:rsidR="00CA0E9A" w14:paraId="09971A3A" w14:textId="77777777" w:rsidTr="00CA6B6F">
        <w:trPr>
          <w:trHeight w:val="371"/>
        </w:trPr>
        <w:tc>
          <w:tcPr>
            <w:tcW w:w="2070" w:type="dxa"/>
            <w:vAlign w:val="center"/>
          </w:tcPr>
          <w:p w14:paraId="40D08FB9" w14:textId="77777777" w:rsidR="00CA0E9A" w:rsidRDefault="00CA0E9A" w:rsidP="001A3ED7">
            <w:pPr>
              <w:spacing w:line="276" w:lineRule="auto"/>
              <w:contextualSpacing/>
              <w:jc w:val="center"/>
            </w:pPr>
            <w:r>
              <w:t>Industrial</w:t>
            </w:r>
          </w:p>
        </w:tc>
        <w:tc>
          <w:tcPr>
            <w:tcW w:w="2113" w:type="dxa"/>
            <w:vAlign w:val="center"/>
          </w:tcPr>
          <w:p w14:paraId="1C268047" w14:textId="77777777" w:rsidR="00CA0E9A" w:rsidRDefault="00CA0E9A" w:rsidP="001A3ED7">
            <w:pPr>
              <w:spacing w:line="276" w:lineRule="auto"/>
              <w:contextualSpacing/>
              <w:jc w:val="center"/>
            </w:pPr>
            <w:r>
              <w:t>3 acres</w:t>
            </w:r>
          </w:p>
        </w:tc>
        <w:tc>
          <w:tcPr>
            <w:tcW w:w="2113" w:type="dxa"/>
            <w:vAlign w:val="center"/>
          </w:tcPr>
          <w:p w14:paraId="0C13F5FE" w14:textId="77777777" w:rsidR="00CA0E9A" w:rsidRDefault="00CA0E9A" w:rsidP="001A3ED7">
            <w:pPr>
              <w:spacing w:line="276" w:lineRule="auto"/>
              <w:contextualSpacing/>
              <w:jc w:val="center"/>
            </w:pPr>
            <w:r>
              <w:t>200</w:t>
            </w:r>
          </w:p>
        </w:tc>
        <w:tc>
          <w:tcPr>
            <w:tcW w:w="2249" w:type="dxa"/>
            <w:vAlign w:val="center"/>
          </w:tcPr>
          <w:p w14:paraId="74D0CEB6" w14:textId="77777777" w:rsidR="00CA0E9A" w:rsidRDefault="00CA0E9A" w:rsidP="001A3ED7">
            <w:pPr>
              <w:spacing w:line="276" w:lineRule="auto"/>
              <w:contextualSpacing/>
              <w:jc w:val="center"/>
            </w:pPr>
            <w:r>
              <w:t>200</w:t>
            </w:r>
          </w:p>
        </w:tc>
      </w:tr>
      <w:tr w:rsidR="00CA0E9A" w14:paraId="643AEAE8" w14:textId="77777777" w:rsidTr="00CA6B6F">
        <w:trPr>
          <w:trHeight w:val="371"/>
        </w:trPr>
        <w:tc>
          <w:tcPr>
            <w:tcW w:w="2070" w:type="dxa"/>
            <w:vAlign w:val="center"/>
          </w:tcPr>
          <w:p w14:paraId="04D5CB29" w14:textId="77777777" w:rsidR="00CA0E9A" w:rsidRDefault="00CA0E9A" w:rsidP="001A3ED7">
            <w:pPr>
              <w:spacing w:line="276" w:lineRule="auto"/>
              <w:contextualSpacing/>
              <w:jc w:val="center"/>
            </w:pPr>
            <w:r>
              <w:t>Preservation</w:t>
            </w:r>
          </w:p>
        </w:tc>
        <w:tc>
          <w:tcPr>
            <w:tcW w:w="2113" w:type="dxa"/>
            <w:vAlign w:val="center"/>
          </w:tcPr>
          <w:p w14:paraId="18DF9E31" w14:textId="77777777" w:rsidR="00CA0E9A" w:rsidRDefault="00CA0E9A" w:rsidP="001A3ED7">
            <w:pPr>
              <w:spacing w:line="276" w:lineRule="auto"/>
              <w:contextualSpacing/>
              <w:jc w:val="center"/>
            </w:pPr>
            <w:r>
              <w:t>N/A</w:t>
            </w:r>
          </w:p>
        </w:tc>
        <w:tc>
          <w:tcPr>
            <w:tcW w:w="2113" w:type="dxa"/>
            <w:vAlign w:val="center"/>
          </w:tcPr>
          <w:p w14:paraId="55C47D6A" w14:textId="77777777" w:rsidR="00CA0E9A" w:rsidRDefault="00CA0E9A" w:rsidP="001A3ED7">
            <w:pPr>
              <w:spacing w:line="276" w:lineRule="auto"/>
              <w:contextualSpacing/>
              <w:jc w:val="center"/>
            </w:pPr>
            <w:r>
              <w:t xml:space="preserve"> N/A</w:t>
            </w:r>
          </w:p>
        </w:tc>
        <w:tc>
          <w:tcPr>
            <w:tcW w:w="2249" w:type="dxa"/>
            <w:vAlign w:val="center"/>
          </w:tcPr>
          <w:p w14:paraId="6E0C2D83" w14:textId="77777777" w:rsidR="00CA0E9A" w:rsidRDefault="00CA0E9A" w:rsidP="001A3ED7">
            <w:pPr>
              <w:spacing w:line="276" w:lineRule="auto"/>
              <w:contextualSpacing/>
              <w:jc w:val="center"/>
            </w:pPr>
            <w:r>
              <w:t>20</w:t>
            </w:r>
          </w:p>
        </w:tc>
      </w:tr>
    </w:tbl>
    <w:p w14:paraId="4B670ABF" w14:textId="77777777" w:rsidR="00E6532D" w:rsidRDefault="00E6532D" w:rsidP="001A3ED7">
      <w:pPr>
        <w:pStyle w:val="ListParagraph"/>
        <w:spacing w:line="276" w:lineRule="auto"/>
      </w:pPr>
    </w:p>
    <w:p w14:paraId="1911A880" w14:textId="2C239DA0" w:rsidR="00964E44" w:rsidRDefault="00E6532D" w:rsidP="009E0A3B">
      <w:pPr>
        <w:pStyle w:val="ListParagraph"/>
        <w:numPr>
          <w:ilvl w:val="0"/>
          <w:numId w:val="8"/>
        </w:numPr>
        <w:spacing w:line="276" w:lineRule="auto"/>
      </w:pPr>
      <w:r w:rsidRPr="00CA6B6F">
        <w:rPr>
          <w:i/>
          <w:iCs/>
        </w:rPr>
        <w:t xml:space="preserve">Public Utility Lots: </w:t>
      </w:r>
      <w:r w:rsidRPr="00E6532D">
        <w:t xml:space="preserve">Lots may be subdivided for use by public utilities which are of such widths, depths, lot areas, lot designs, or frontages as shall be approved by the City of </w:t>
      </w:r>
      <w:r w:rsidR="00A56507">
        <w:t>Goose Creek</w:t>
      </w:r>
      <w:r w:rsidRPr="00E6532D">
        <w:t xml:space="preserve"> Planning and Zoning Department, though not necessarily meeting the specific standards outlined in this PDD provided that lots are provided with access via a minimum of twenty-four (24) feet of continuous frontage on a public or private right-of-way or via an access easement across another parcel that connects to a public or private right-of-way. Such easement shall have a minimum width of twenty-four (24) feet and shall be shown and simultaneously recorded with the plat creating such lots and a note on the plat indicating further subdivision or development of the property shall not be permitted until said property is brought into compliance with the subdivision regulations.</w:t>
      </w:r>
    </w:p>
    <w:p w14:paraId="695534E8" w14:textId="77777777" w:rsidR="003B4F1E" w:rsidRDefault="003B4F1E" w:rsidP="003B4F1E">
      <w:pPr>
        <w:pStyle w:val="ListParagraph"/>
        <w:spacing w:line="276" w:lineRule="auto"/>
      </w:pPr>
    </w:p>
    <w:p w14:paraId="34253B36" w14:textId="29D2C580" w:rsidR="00E6532D" w:rsidRDefault="00E6532D" w:rsidP="009E0A3B">
      <w:pPr>
        <w:pStyle w:val="ListParagraph"/>
        <w:numPr>
          <w:ilvl w:val="0"/>
          <w:numId w:val="8"/>
        </w:numPr>
        <w:spacing w:line="276" w:lineRule="auto"/>
      </w:pPr>
      <w:r w:rsidRPr="00CA6B6F">
        <w:rPr>
          <w:i/>
          <w:iCs/>
        </w:rPr>
        <w:t>Support Facilities:</w:t>
      </w:r>
      <w:r w:rsidRPr="00E6532D">
        <w:t xml:space="preserve"> Lots may be subdivided for use as buffer areas, drainage areas, ponds, or wetland preservation areas which are of such widths, depths, lot areas, lot designs, or frontages as shall be approved by the City of </w:t>
      </w:r>
      <w:r w:rsidR="00A56507">
        <w:t>Goose Creek</w:t>
      </w:r>
      <w:r w:rsidRPr="00E6532D">
        <w:t xml:space="preserve"> Planning and Zoning Department, though not necessarily meeting the specific standards outlined in this PDD provided that lots are provided with access via a minimum of twenty-four (24) feet of continuous frontage on a public or private right-of-way or via an access easement across another parcel that connects to a public or private right-of-way. Such easement shall have a minimum width of twenty-four (24) feet and shall be shown and simultaneously recorded with the plat creating such lots. A note shall be provided on the plat indicating further subdivision or development of the property shall not be permitted until said property is brought into compliance with the subdivision regulations.</w:t>
      </w:r>
    </w:p>
    <w:p w14:paraId="09DF929B" w14:textId="77777777" w:rsidR="00FC0B2A" w:rsidRDefault="00FC0B2A" w:rsidP="001A3ED7">
      <w:pPr>
        <w:pStyle w:val="ListParagraph"/>
        <w:spacing w:line="276" w:lineRule="auto"/>
      </w:pPr>
    </w:p>
    <w:p w14:paraId="524ECF05" w14:textId="77777777" w:rsidR="00FC0B2A" w:rsidRPr="00472AB9" w:rsidRDefault="00FC0B2A" w:rsidP="009E0A3B">
      <w:pPr>
        <w:pStyle w:val="ListParagraph"/>
        <w:numPr>
          <w:ilvl w:val="0"/>
          <w:numId w:val="8"/>
        </w:numPr>
        <w:spacing w:line="276" w:lineRule="auto"/>
        <w:rPr>
          <w:u w:val="single"/>
        </w:rPr>
      </w:pPr>
      <w:r w:rsidRPr="00472AB9">
        <w:rPr>
          <w:u w:val="single"/>
        </w:rPr>
        <w:t>Requirements in the Commercial zoning area</w:t>
      </w:r>
    </w:p>
    <w:p w14:paraId="6A2D4EB8" w14:textId="77777777" w:rsidR="00FC0B2A" w:rsidRDefault="00FC0B2A" w:rsidP="009E0A3B">
      <w:pPr>
        <w:pStyle w:val="ListParagraph"/>
        <w:numPr>
          <w:ilvl w:val="1"/>
          <w:numId w:val="8"/>
        </w:numPr>
        <w:spacing w:line="276" w:lineRule="auto"/>
      </w:pPr>
      <w:r>
        <w:t>Minimum front yard, measured from the nearest abutting right-of-way line: ten (10) feet</w:t>
      </w:r>
    </w:p>
    <w:p w14:paraId="7646BE97" w14:textId="77777777" w:rsidR="00472AB9" w:rsidRDefault="00472AB9" w:rsidP="001A3ED7">
      <w:pPr>
        <w:pStyle w:val="ListParagraph"/>
        <w:spacing w:line="276" w:lineRule="auto"/>
        <w:ind w:left="1440"/>
      </w:pPr>
    </w:p>
    <w:p w14:paraId="2F34857C" w14:textId="170306EC" w:rsidR="00FC0B2A" w:rsidRDefault="00FC0B2A" w:rsidP="009E0A3B">
      <w:pPr>
        <w:pStyle w:val="ListParagraph"/>
        <w:numPr>
          <w:ilvl w:val="1"/>
          <w:numId w:val="8"/>
        </w:numPr>
        <w:spacing w:line="276" w:lineRule="auto"/>
      </w:pPr>
      <w:r>
        <w:t>A minimum rear and side yard of ten (10) feet shall be required along each rear side lot line; except that where a firewall meeting the standards of the current edition of the city's building code is constructed at the property line; the side or rear yard requirement may be waived along the respective side or rear lot line.</w:t>
      </w:r>
    </w:p>
    <w:p w14:paraId="0CF1A3CB" w14:textId="77777777" w:rsidR="00FC0B2A" w:rsidRDefault="00FC0B2A" w:rsidP="001A3ED7">
      <w:pPr>
        <w:pStyle w:val="ListParagraph"/>
        <w:spacing w:line="276" w:lineRule="auto"/>
      </w:pPr>
    </w:p>
    <w:p w14:paraId="2D2549A3" w14:textId="77777777" w:rsidR="00FC0B2A" w:rsidRPr="00472AB9" w:rsidRDefault="00FC0B2A" w:rsidP="009E0A3B">
      <w:pPr>
        <w:pStyle w:val="ListParagraph"/>
        <w:numPr>
          <w:ilvl w:val="0"/>
          <w:numId w:val="8"/>
        </w:numPr>
        <w:spacing w:line="276" w:lineRule="auto"/>
        <w:rPr>
          <w:u w:val="single"/>
        </w:rPr>
      </w:pPr>
      <w:r w:rsidRPr="00472AB9">
        <w:rPr>
          <w:u w:val="single"/>
        </w:rPr>
        <w:t>Requirements in the Industrial zoning area</w:t>
      </w:r>
    </w:p>
    <w:p w14:paraId="0A86B01C" w14:textId="34AE0F75" w:rsidR="00FC0B2A" w:rsidRDefault="00FC0B2A" w:rsidP="009E0A3B">
      <w:pPr>
        <w:pStyle w:val="ListParagraph"/>
        <w:numPr>
          <w:ilvl w:val="1"/>
          <w:numId w:val="8"/>
        </w:numPr>
        <w:spacing w:line="276" w:lineRule="auto"/>
      </w:pPr>
      <w:r>
        <w:t>Minimum front yard, measured from the nearest abutting right-of-way line: Twenty (2</w:t>
      </w:r>
      <w:r w:rsidR="005F00A0">
        <w:t>0</w:t>
      </w:r>
      <w:r>
        <w:t>) feet.</w:t>
      </w:r>
    </w:p>
    <w:p w14:paraId="6C1ED6FE" w14:textId="77777777" w:rsidR="00FC0B2A" w:rsidRDefault="00FC0B2A" w:rsidP="001A3ED7">
      <w:pPr>
        <w:pStyle w:val="ListParagraph"/>
        <w:spacing w:line="276" w:lineRule="auto"/>
      </w:pPr>
    </w:p>
    <w:p w14:paraId="44E3F7E9" w14:textId="5CDEDDE3" w:rsidR="00CA6B6F" w:rsidRPr="00964E44" w:rsidRDefault="00FC0B2A" w:rsidP="009E0A3B">
      <w:pPr>
        <w:pStyle w:val="ListParagraph"/>
        <w:numPr>
          <w:ilvl w:val="1"/>
          <w:numId w:val="8"/>
        </w:numPr>
        <w:spacing w:line="276" w:lineRule="auto"/>
      </w:pPr>
      <w:r>
        <w:t xml:space="preserve">A minimum rear and side yard of ten (10) feet shall be required along each rear and side lot line, except that where a firewall meeting the standards of the current edition of the city's building code is constructed at the property line; the side or rear yard requirement </w:t>
      </w:r>
      <w:r>
        <w:lastRenderedPageBreak/>
        <w:t>may be waived along the respective side or rear lot line.</w:t>
      </w:r>
      <w:r w:rsidR="00CF3650">
        <w:br/>
      </w:r>
    </w:p>
    <w:p w14:paraId="62D9259C" w14:textId="14A0A57F" w:rsidR="00964E44" w:rsidRDefault="00964E44" w:rsidP="001A3ED7">
      <w:pPr>
        <w:pStyle w:val="Heading2"/>
        <w:spacing w:line="276" w:lineRule="auto"/>
      </w:pPr>
      <w:bookmarkStart w:id="21" w:name="_Toc149731092"/>
      <w:r>
        <w:t>Buffer areas</w:t>
      </w:r>
      <w:bookmarkEnd w:id="21"/>
    </w:p>
    <w:p w14:paraId="0701DBEB" w14:textId="29F38987" w:rsidR="005F00A0" w:rsidRDefault="00343BF5" w:rsidP="009E0A3B">
      <w:pPr>
        <w:pStyle w:val="ListParagraph"/>
        <w:numPr>
          <w:ilvl w:val="0"/>
          <w:numId w:val="9"/>
        </w:numPr>
        <w:spacing w:line="276" w:lineRule="auto"/>
      </w:pPr>
      <w:r w:rsidRPr="00343BF5">
        <w:t>A fifty foot (</w:t>
      </w:r>
      <w:r>
        <w:t>20</w:t>
      </w:r>
      <w:r w:rsidRPr="00343BF5">
        <w:t xml:space="preserve">’) undisturbed, vegetative buffer will remain along the eastern portion of the Property adjacent to Interstate 26 (I-26) with additional landscaping planting at site entrances or where the buffer is not substantial. The Developer shall be permitted to make landscaping additions to the buffer where natural vegetation may be absent or insufficient for screening. No buffer materials are proposed within the utility easement parallel to I-26. An exhibit detailing the Property’s buffers can be found in Appendix </w:t>
      </w:r>
      <w:r w:rsidR="00C226DB">
        <w:t>6</w:t>
      </w:r>
      <w:r w:rsidRPr="00343BF5">
        <w:t>.</w:t>
      </w:r>
    </w:p>
    <w:p w14:paraId="6C48D83C" w14:textId="77777777" w:rsidR="008C0636" w:rsidRDefault="008C0636" w:rsidP="001A3ED7">
      <w:pPr>
        <w:pStyle w:val="ListParagraph"/>
        <w:spacing w:line="276" w:lineRule="auto"/>
      </w:pPr>
    </w:p>
    <w:p w14:paraId="3E80A49A" w14:textId="5763466D" w:rsidR="008C0636" w:rsidRDefault="008C0636" w:rsidP="009E0A3B">
      <w:pPr>
        <w:pStyle w:val="ListParagraph"/>
        <w:numPr>
          <w:ilvl w:val="0"/>
          <w:numId w:val="9"/>
        </w:numPr>
        <w:spacing w:line="276" w:lineRule="auto"/>
      </w:pPr>
      <w:r w:rsidRPr="008C0636">
        <w:t xml:space="preserve">A twenty-foot (20’) undisturbed, vegetative buffer will remain along the northern property line adjacent to TMS 242-00-03-065.  </w:t>
      </w:r>
    </w:p>
    <w:p w14:paraId="439920BD" w14:textId="77777777" w:rsidR="008C0636" w:rsidRDefault="008C0636" w:rsidP="001A3ED7">
      <w:pPr>
        <w:pStyle w:val="ListParagraph"/>
        <w:spacing w:line="276" w:lineRule="auto"/>
      </w:pPr>
    </w:p>
    <w:p w14:paraId="28F7C04D" w14:textId="53EED846" w:rsidR="008C0636" w:rsidRDefault="00A96B02" w:rsidP="009E0A3B">
      <w:pPr>
        <w:pStyle w:val="ListParagraph"/>
        <w:numPr>
          <w:ilvl w:val="0"/>
          <w:numId w:val="9"/>
        </w:numPr>
        <w:spacing w:line="276" w:lineRule="auto"/>
      </w:pPr>
      <w:r w:rsidRPr="00A96B02">
        <w:t xml:space="preserve">A twenty-foot (20’) undisturbed, vegetative buffer will remain along the Property’s western perimeter when adjacent to residentially zoned parcels. </w:t>
      </w:r>
      <w:r w:rsidR="00704B4A">
        <w:t xml:space="preserve">A </w:t>
      </w:r>
      <w:r w:rsidR="00DD4F04">
        <w:t xml:space="preserve">fifty-foot (50’) undisturbed, vegetative buffer will remain along the eastern side of Property J as labeled in Appendix 6. </w:t>
      </w:r>
      <w:r w:rsidRPr="00A96B02">
        <w:t>A ten-foot (10’) buffer shall be maintained along the Property’s western perimeter when adjacent to commercially zoned parcels or public right-of-way. A ten-foot (10’) buffer shall be maintained along Crosswatch Drive.</w:t>
      </w:r>
    </w:p>
    <w:p w14:paraId="10297EE9" w14:textId="77777777" w:rsidR="00A96B02" w:rsidRDefault="00A96B02" w:rsidP="001A3ED7">
      <w:pPr>
        <w:pStyle w:val="ListParagraph"/>
        <w:spacing w:line="276" w:lineRule="auto"/>
      </w:pPr>
    </w:p>
    <w:p w14:paraId="5495C167" w14:textId="7F7171CF" w:rsidR="00A96B02" w:rsidRDefault="00A96B02" w:rsidP="009E0A3B">
      <w:pPr>
        <w:pStyle w:val="ListParagraph"/>
        <w:numPr>
          <w:ilvl w:val="0"/>
          <w:numId w:val="9"/>
        </w:numPr>
        <w:spacing w:line="276" w:lineRule="auto"/>
      </w:pPr>
      <w:r w:rsidRPr="00A96B02">
        <w:t xml:space="preserve">A twenty foot (20’) undisturbed, vegetative buffer shall be maintained along the Property’s southern perimeter. The buffer may be reduced </w:t>
      </w:r>
      <w:r w:rsidR="006F4C42">
        <w:t xml:space="preserve">to ten feet (10’) </w:t>
      </w:r>
      <w:r w:rsidRPr="00A96B02">
        <w:t>at the time of site development,</w:t>
      </w:r>
      <w:r w:rsidR="006F4C42">
        <w:t xml:space="preserve"> </w:t>
      </w:r>
      <w:r w:rsidRPr="00A96B02">
        <w:t xml:space="preserve">should the Property be developed as </w:t>
      </w:r>
      <w:r w:rsidR="003D7F0A">
        <w:t>a commercial</w:t>
      </w:r>
      <w:r w:rsidR="00C372A7">
        <w:t xml:space="preserve"> land</w:t>
      </w:r>
      <w:r w:rsidR="003D7F0A">
        <w:t xml:space="preserve"> u</w:t>
      </w:r>
      <w:r w:rsidR="00C372A7">
        <w:t>se.</w:t>
      </w:r>
    </w:p>
    <w:p w14:paraId="06540F46" w14:textId="77777777" w:rsidR="00A96B02" w:rsidRDefault="00A96B02" w:rsidP="001A3ED7">
      <w:pPr>
        <w:pStyle w:val="ListParagraph"/>
        <w:spacing w:line="276" w:lineRule="auto"/>
      </w:pPr>
    </w:p>
    <w:p w14:paraId="0CE69E50" w14:textId="1EB4ECFA" w:rsidR="00A96B02" w:rsidRDefault="007F6738" w:rsidP="009E0A3B">
      <w:pPr>
        <w:pStyle w:val="ListParagraph"/>
        <w:numPr>
          <w:ilvl w:val="0"/>
          <w:numId w:val="9"/>
        </w:numPr>
        <w:spacing w:line="276" w:lineRule="auto"/>
      </w:pPr>
      <w:r w:rsidRPr="007F6738">
        <w:t>A twenty-five foot (25’) undisturbed, vegetative buffer shall be maintained along the cemetery parcel line</w:t>
      </w:r>
      <w:r w:rsidR="000355D4">
        <w:t>.</w:t>
      </w:r>
    </w:p>
    <w:p w14:paraId="00C7D4A6" w14:textId="77777777" w:rsidR="007F6738" w:rsidRDefault="007F6738" w:rsidP="001A3ED7">
      <w:pPr>
        <w:pStyle w:val="ListParagraph"/>
        <w:spacing w:line="276" w:lineRule="auto"/>
      </w:pPr>
    </w:p>
    <w:p w14:paraId="663455AE" w14:textId="6D5EF2F9" w:rsidR="007F6738" w:rsidRDefault="007F6738" w:rsidP="009E0A3B">
      <w:pPr>
        <w:pStyle w:val="ListParagraph"/>
        <w:numPr>
          <w:ilvl w:val="0"/>
          <w:numId w:val="9"/>
        </w:numPr>
        <w:spacing w:line="276" w:lineRule="auto"/>
      </w:pPr>
      <w:r w:rsidRPr="007F6738">
        <w:t>Side and rear buffer requirements shall be waived within the Industrial and Commercial zoning areas when parcels are adjoining or adjacent to a similar use.</w:t>
      </w:r>
    </w:p>
    <w:p w14:paraId="4272716A" w14:textId="77777777" w:rsidR="007F6738" w:rsidRDefault="007F6738" w:rsidP="001A3ED7">
      <w:pPr>
        <w:pStyle w:val="ListParagraph"/>
        <w:spacing w:line="276" w:lineRule="auto"/>
      </w:pPr>
    </w:p>
    <w:p w14:paraId="79300666" w14:textId="24A98F49" w:rsidR="007F6738" w:rsidRDefault="00D869A1" w:rsidP="009E0A3B">
      <w:pPr>
        <w:pStyle w:val="ListParagraph"/>
        <w:numPr>
          <w:ilvl w:val="0"/>
          <w:numId w:val="9"/>
        </w:numPr>
        <w:spacing w:line="276" w:lineRule="auto"/>
      </w:pPr>
      <w:r w:rsidRPr="00D869A1">
        <w:t>Where a lot or parcel is screened by an existing building or wall, no additional buffering shall be required.</w:t>
      </w:r>
    </w:p>
    <w:p w14:paraId="2C82AF81" w14:textId="77777777" w:rsidR="00D869A1" w:rsidRDefault="00D869A1" w:rsidP="001A3ED7">
      <w:pPr>
        <w:pStyle w:val="ListParagraph"/>
        <w:spacing w:line="276" w:lineRule="auto"/>
      </w:pPr>
    </w:p>
    <w:p w14:paraId="1F983053" w14:textId="683391C0" w:rsidR="00D869A1" w:rsidRPr="005F00A0" w:rsidRDefault="00D869A1" w:rsidP="009E0A3B">
      <w:pPr>
        <w:pStyle w:val="ListParagraph"/>
        <w:numPr>
          <w:ilvl w:val="0"/>
          <w:numId w:val="9"/>
        </w:numPr>
        <w:spacing w:line="276" w:lineRule="auto"/>
      </w:pPr>
      <w:r w:rsidRPr="00D869A1">
        <w:t xml:space="preserve">Where a property line is bordered by a wetland and/or riparian buffer, no additional buffering beyond the perimeter buffers shown on Appendix </w:t>
      </w:r>
      <w:r w:rsidR="00FB6727">
        <w:t>6</w:t>
      </w:r>
      <w:r w:rsidRPr="00D869A1">
        <w:t xml:space="preserve"> shall be required along the portion of the respective property line directly adjacent to the protected wetland and/or riparian buffer.</w:t>
      </w:r>
      <w:r w:rsidR="00535045">
        <w:br/>
      </w:r>
    </w:p>
    <w:p w14:paraId="001AAF78" w14:textId="58B32624" w:rsidR="00964E44" w:rsidRDefault="00964E44" w:rsidP="001A3ED7">
      <w:pPr>
        <w:pStyle w:val="Heading2"/>
        <w:spacing w:line="276" w:lineRule="auto"/>
      </w:pPr>
      <w:bookmarkStart w:id="22" w:name="_Toc149731093"/>
      <w:r>
        <w:t>Screening</w:t>
      </w:r>
      <w:bookmarkEnd w:id="22"/>
    </w:p>
    <w:p w14:paraId="74F79DDE" w14:textId="1D6B5BE0" w:rsidR="005F00A0" w:rsidRPr="005F00A0" w:rsidRDefault="00D869A1" w:rsidP="00BC1243">
      <w:pPr>
        <w:spacing w:line="276" w:lineRule="auto"/>
        <w:ind w:left="360"/>
      </w:pPr>
      <w:r w:rsidRPr="00D869A1">
        <w:t>Structures shall be oriented so that loading areas are not visible from residential districts, from existing public rights-of-way, or from planned future public rights-of-way. Loading areas may be oriented toward adjoining developed properties, which are similarly zoned, or toward adjoining properties eligible for future similar development.</w:t>
      </w:r>
      <w:r w:rsidR="00535045">
        <w:br/>
      </w:r>
    </w:p>
    <w:p w14:paraId="67738846" w14:textId="34DC4F8E" w:rsidR="00964E44" w:rsidRDefault="00964E44" w:rsidP="001A3ED7">
      <w:pPr>
        <w:pStyle w:val="Heading2"/>
        <w:spacing w:line="276" w:lineRule="auto"/>
      </w:pPr>
      <w:bookmarkStart w:id="23" w:name="_Toc149731094"/>
      <w:r>
        <w:t>Landscaping</w:t>
      </w:r>
      <w:bookmarkEnd w:id="23"/>
    </w:p>
    <w:p w14:paraId="7B984199" w14:textId="506F446D" w:rsidR="005F00A0" w:rsidRDefault="009374F7" w:rsidP="009E0A3B">
      <w:pPr>
        <w:pStyle w:val="ListParagraph"/>
        <w:numPr>
          <w:ilvl w:val="0"/>
          <w:numId w:val="10"/>
        </w:numPr>
        <w:spacing w:line="276" w:lineRule="auto"/>
      </w:pPr>
      <w:r>
        <w:t xml:space="preserve">Lots intended primarily for trucks carrying freight and any lot intended exclusively for inventory purposes </w:t>
      </w:r>
      <w:r w:rsidR="008C0A90">
        <w:t xml:space="preserve">shall be exempt from interior, peninsula, or island type landscape requirements. </w:t>
      </w:r>
    </w:p>
    <w:p w14:paraId="790A2498" w14:textId="77777777" w:rsidR="007D2E47" w:rsidRDefault="007D2E47" w:rsidP="001A3ED7">
      <w:pPr>
        <w:pStyle w:val="ListParagraph"/>
        <w:spacing w:line="276" w:lineRule="auto"/>
      </w:pPr>
    </w:p>
    <w:p w14:paraId="63BEB111" w14:textId="0BA87A8A" w:rsidR="007D2E47" w:rsidRDefault="007D2E47" w:rsidP="009E0A3B">
      <w:pPr>
        <w:pStyle w:val="ListParagraph"/>
        <w:numPr>
          <w:ilvl w:val="0"/>
          <w:numId w:val="10"/>
        </w:numPr>
        <w:spacing w:line="276" w:lineRule="auto"/>
      </w:pPr>
      <w:r>
        <w:t>Temporary off-street parking shall be exempt from interior, peninsula, or island type landscape requirements.</w:t>
      </w:r>
    </w:p>
    <w:p w14:paraId="1D161D0F" w14:textId="77777777" w:rsidR="00956911" w:rsidRDefault="00956911" w:rsidP="001A3ED7">
      <w:pPr>
        <w:pStyle w:val="ListParagraph"/>
        <w:spacing w:line="276" w:lineRule="auto"/>
      </w:pPr>
    </w:p>
    <w:p w14:paraId="3B0A817B" w14:textId="0F268BBB" w:rsidR="00956911" w:rsidRPr="005F00A0" w:rsidRDefault="00956911" w:rsidP="009E0A3B">
      <w:pPr>
        <w:pStyle w:val="ListParagraph"/>
        <w:numPr>
          <w:ilvl w:val="0"/>
          <w:numId w:val="10"/>
        </w:numPr>
        <w:spacing w:line="276" w:lineRule="auto"/>
      </w:pPr>
      <w:r w:rsidRPr="00956911">
        <w:t>In the Industrial zoning area, required interior parking landscaping may be planted to the exterior of the parking lot. Where an undisturbed vegetative buffer exists adjacent to the parking lot, additional landscaping may be waived.</w:t>
      </w:r>
      <w:r w:rsidR="00535045">
        <w:br/>
      </w:r>
    </w:p>
    <w:p w14:paraId="20E9BD6F" w14:textId="02932906" w:rsidR="00964E44" w:rsidRDefault="001A0CC9" w:rsidP="001A3ED7">
      <w:pPr>
        <w:pStyle w:val="Heading2"/>
        <w:spacing w:line="276" w:lineRule="auto"/>
      </w:pPr>
      <w:bookmarkStart w:id="24" w:name="_Toc149731095"/>
      <w:r>
        <w:t>T</w:t>
      </w:r>
      <w:r w:rsidR="00964E44">
        <w:t xml:space="preserve">ree </w:t>
      </w:r>
      <w:r>
        <w:t>P</w:t>
      </w:r>
      <w:r w:rsidR="00964E44">
        <w:t xml:space="preserve">rotection </w:t>
      </w:r>
      <w:r>
        <w:t>a</w:t>
      </w:r>
      <w:r w:rsidR="00964E44">
        <w:t xml:space="preserve">nd </w:t>
      </w:r>
      <w:r>
        <w:t>M</w:t>
      </w:r>
      <w:r w:rsidR="00964E44">
        <w:t>itigation</w:t>
      </w:r>
      <w:bookmarkEnd w:id="24"/>
    </w:p>
    <w:p w14:paraId="7E8CAA81" w14:textId="6D47BE02" w:rsidR="005F00A0" w:rsidRDefault="00CF3650" w:rsidP="009E0A3B">
      <w:pPr>
        <w:pStyle w:val="ListParagraph"/>
        <w:numPr>
          <w:ilvl w:val="0"/>
          <w:numId w:val="11"/>
        </w:numPr>
        <w:spacing w:line="276" w:lineRule="auto"/>
      </w:pPr>
      <w:r w:rsidRPr="00CF3650">
        <w:t xml:space="preserve">Grand trees equal to or greater than twenty-four (24) inches DBH shall be individually surveyed, while a survey of other trees, including 11-23” significant trees, and any trees identified in a buffer for mitigation, may be satisfied by a sample area survey.  </w:t>
      </w:r>
    </w:p>
    <w:p w14:paraId="2828180B" w14:textId="77777777" w:rsidR="002B18E2" w:rsidRDefault="002B18E2" w:rsidP="001A3ED7">
      <w:pPr>
        <w:pStyle w:val="ListParagraph"/>
        <w:spacing w:line="276" w:lineRule="auto"/>
      </w:pPr>
    </w:p>
    <w:p w14:paraId="7FE04EAA" w14:textId="3B871285" w:rsidR="00747361" w:rsidRDefault="002B18E2" w:rsidP="009E0A3B">
      <w:pPr>
        <w:pStyle w:val="ListParagraph"/>
        <w:numPr>
          <w:ilvl w:val="0"/>
          <w:numId w:val="11"/>
        </w:numPr>
        <w:spacing w:line="276" w:lineRule="auto"/>
      </w:pPr>
      <w:r w:rsidRPr="002B18E2">
        <w:t>To use the sample survey method, parcels must be minimum of three (3) acres. Sample survey areas must be a minimum of one (1) acre. The sample area survey shall be evenly distributed throughout the site and proportional to the acreage of types of forest found on the site. City staff shall approve the sample areas prior to survey.</w:t>
      </w:r>
    </w:p>
    <w:p w14:paraId="71A255B4" w14:textId="77777777" w:rsidR="00DA7F00" w:rsidRDefault="00DA7F00" w:rsidP="001A3ED7">
      <w:pPr>
        <w:pStyle w:val="ListParagraph"/>
        <w:spacing w:line="276" w:lineRule="auto"/>
      </w:pPr>
    </w:p>
    <w:p w14:paraId="3CC5217C" w14:textId="5A399EF5" w:rsidR="00DA7F00" w:rsidRDefault="0060622C" w:rsidP="009E0A3B">
      <w:pPr>
        <w:pStyle w:val="ListParagraph"/>
        <w:numPr>
          <w:ilvl w:val="1"/>
          <w:numId w:val="11"/>
        </w:numPr>
        <w:spacing w:line="276" w:lineRule="auto"/>
      </w:pPr>
      <w:r w:rsidRPr="0060622C">
        <w:t>Where preservation of trees within protected wetlands, riparian, and/or wetland buffers is proposed as mitigation for tree cutting, a survey shall be conducted of all trees at least two (2) but less than ten (10) inches DBH within an area of buffer no less than 100 linear feet (and typically 35’ width). The total average caliper inch per square foot of trees at least two (2) but less than ten (10) inches DBH within this sample region may be applied to the total buffer area and count toward mitigation requirements.</w:t>
      </w:r>
    </w:p>
    <w:p w14:paraId="7228742D" w14:textId="77777777" w:rsidR="0060622C" w:rsidRDefault="0060622C" w:rsidP="001A3ED7">
      <w:pPr>
        <w:pStyle w:val="ListParagraph"/>
        <w:spacing w:line="276" w:lineRule="auto"/>
        <w:ind w:left="1440"/>
      </w:pPr>
    </w:p>
    <w:p w14:paraId="6A5E398D" w14:textId="6746BA43" w:rsidR="0060622C" w:rsidRDefault="0060622C" w:rsidP="00535045">
      <w:pPr>
        <w:pStyle w:val="ListParagraph"/>
        <w:numPr>
          <w:ilvl w:val="1"/>
          <w:numId w:val="11"/>
        </w:numPr>
        <w:spacing w:line="276" w:lineRule="auto"/>
      </w:pPr>
      <w:r w:rsidRPr="0060622C">
        <w:t>Outside of buffer areas, a sample survey may be taken to determine the average caliper inch per acre.  The average measured caliper inch per acre can be applied to all areas outside the clearing limits and counted toward mitigation requirements.</w:t>
      </w:r>
      <w:r w:rsidR="00535045">
        <w:br/>
      </w:r>
    </w:p>
    <w:p w14:paraId="698D3CB1" w14:textId="1D2D4419" w:rsidR="0060622C" w:rsidRDefault="001A0CC9" w:rsidP="001A3ED7">
      <w:pPr>
        <w:pStyle w:val="Heading2"/>
        <w:spacing w:line="276" w:lineRule="auto"/>
      </w:pPr>
      <w:bookmarkStart w:id="25" w:name="_Toc149731096"/>
      <w:r>
        <w:t>S</w:t>
      </w:r>
      <w:r w:rsidR="0060622C">
        <w:t xml:space="preserve">treets </w:t>
      </w:r>
      <w:r>
        <w:t>a</w:t>
      </w:r>
      <w:r w:rsidR="0060622C">
        <w:t xml:space="preserve">nd </w:t>
      </w:r>
      <w:r>
        <w:t>D</w:t>
      </w:r>
      <w:r w:rsidR="0060622C">
        <w:t>rainage</w:t>
      </w:r>
      <w:bookmarkEnd w:id="25"/>
    </w:p>
    <w:p w14:paraId="0389835F" w14:textId="2CE85736" w:rsidR="0060622C" w:rsidRDefault="0070011C" w:rsidP="009E0A3B">
      <w:pPr>
        <w:pStyle w:val="ListParagraph"/>
        <w:numPr>
          <w:ilvl w:val="0"/>
          <w:numId w:val="12"/>
        </w:numPr>
        <w:spacing w:line="276" w:lineRule="auto"/>
      </w:pPr>
      <w:r w:rsidRPr="0070011C">
        <w:t xml:space="preserve">Ancrum Development will include the extension of a private street (Wimberly Drive Extension) to provide access to the development of the PD area and a connection to Ancrum Road. </w:t>
      </w:r>
      <w:r w:rsidR="005923E5">
        <w:t>The Commercial portion of the PD may be accessed via Crosswatch Drive.</w:t>
      </w:r>
    </w:p>
    <w:p w14:paraId="28809FBF" w14:textId="77777777" w:rsidR="005D297E" w:rsidRDefault="005D297E" w:rsidP="001A3ED7">
      <w:pPr>
        <w:pStyle w:val="ListParagraph"/>
        <w:spacing w:line="276" w:lineRule="auto"/>
      </w:pPr>
    </w:p>
    <w:p w14:paraId="1978994A" w14:textId="17C0966C" w:rsidR="0070011C" w:rsidRDefault="005D297E" w:rsidP="009E0A3B">
      <w:pPr>
        <w:pStyle w:val="ListParagraph"/>
        <w:numPr>
          <w:ilvl w:val="1"/>
          <w:numId w:val="12"/>
        </w:numPr>
        <w:spacing w:line="276" w:lineRule="auto"/>
      </w:pPr>
      <w:r w:rsidRPr="005D297E">
        <w:t xml:space="preserve">The typical section of Wimberly Drive Extension includes a fifty-foot (50’) right-of-way with two (2) twelve-foot (12’) travel lanes, and an open drainage system. A typical section can be found in Appendix </w:t>
      </w:r>
      <w:r w:rsidR="00437A6B">
        <w:t>7</w:t>
      </w:r>
      <w:r w:rsidRPr="005D297E">
        <w:t>.</w:t>
      </w:r>
    </w:p>
    <w:p w14:paraId="00DEB864" w14:textId="77777777" w:rsidR="005D297E" w:rsidRDefault="005D297E" w:rsidP="001A3ED7">
      <w:pPr>
        <w:pStyle w:val="ListParagraph"/>
        <w:spacing w:line="276" w:lineRule="auto"/>
        <w:ind w:left="1440"/>
      </w:pPr>
    </w:p>
    <w:p w14:paraId="5E54639D" w14:textId="0542B937" w:rsidR="005D297E" w:rsidRDefault="005D297E" w:rsidP="009E0A3B">
      <w:pPr>
        <w:pStyle w:val="ListParagraph"/>
        <w:numPr>
          <w:ilvl w:val="1"/>
          <w:numId w:val="12"/>
        </w:numPr>
        <w:spacing w:line="276" w:lineRule="auto"/>
      </w:pPr>
      <w:r w:rsidRPr="005D297E">
        <w:t xml:space="preserve">Stormwater management will comply with </w:t>
      </w:r>
      <w:r>
        <w:t xml:space="preserve">Berkeley County’s </w:t>
      </w:r>
      <w:r w:rsidRPr="005D297E">
        <w:t xml:space="preserve">stormwater Permitting Standards and Procedures Manual.  </w:t>
      </w:r>
    </w:p>
    <w:p w14:paraId="0F6F3746" w14:textId="77777777" w:rsidR="005D297E" w:rsidRDefault="005D297E" w:rsidP="001A3ED7">
      <w:pPr>
        <w:pStyle w:val="ListParagraph"/>
        <w:spacing w:line="276" w:lineRule="auto"/>
        <w:ind w:left="1440"/>
      </w:pPr>
    </w:p>
    <w:p w14:paraId="272EC704" w14:textId="5472B30F" w:rsidR="0070011C" w:rsidRPr="0060622C" w:rsidRDefault="0070011C" w:rsidP="009E0A3B">
      <w:pPr>
        <w:pStyle w:val="ListParagraph"/>
        <w:numPr>
          <w:ilvl w:val="0"/>
          <w:numId w:val="12"/>
        </w:numPr>
        <w:spacing w:line="276" w:lineRule="auto"/>
      </w:pPr>
      <w:r w:rsidRPr="0070011C">
        <w:t xml:space="preserve">As part of the extension of Wimberly Drive, the Developer will meet with the City and its traffic engineer to initiate a traffic study that assesses impacts from the new development to surrounding infrastructure.  </w:t>
      </w:r>
      <w:r w:rsidR="00535045">
        <w:br/>
      </w:r>
    </w:p>
    <w:p w14:paraId="6212CB58" w14:textId="3CBD26EA" w:rsidR="0060622C" w:rsidRDefault="001A0CC9" w:rsidP="001A3ED7">
      <w:pPr>
        <w:pStyle w:val="Heading2"/>
        <w:spacing w:line="276" w:lineRule="auto"/>
      </w:pPr>
      <w:bookmarkStart w:id="26" w:name="_Toc149731097"/>
      <w:r>
        <w:lastRenderedPageBreak/>
        <w:t>W</w:t>
      </w:r>
      <w:r w:rsidR="0060622C">
        <w:t xml:space="preserve">etland </w:t>
      </w:r>
      <w:r>
        <w:t>a</w:t>
      </w:r>
      <w:r w:rsidR="0060622C">
        <w:t xml:space="preserve">nd </w:t>
      </w:r>
      <w:r>
        <w:t>Ri</w:t>
      </w:r>
      <w:r w:rsidR="0060622C">
        <w:t xml:space="preserve">parian </w:t>
      </w:r>
      <w:r>
        <w:t>B</w:t>
      </w:r>
      <w:r w:rsidR="0060622C">
        <w:t>uffers</w:t>
      </w:r>
      <w:bookmarkEnd w:id="26"/>
    </w:p>
    <w:p w14:paraId="1B95AAC9" w14:textId="5F60DDCA" w:rsidR="001A3ED7" w:rsidRDefault="005A115D" w:rsidP="009E0A3B">
      <w:pPr>
        <w:pStyle w:val="ListParagraph"/>
        <w:numPr>
          <w:ilvl w:val="0"/>
          <w:numId w:val="13"/>
        </w:numPr>
      </w:pPr>
      <w:r w:rsidRPr="005A115D">
        <w:t xml:space="preserve">Riparian buffers adjacent to preserved wetlands shall be an average of </w:t>
      </w:r>
      <w:r w:rsidR="00124A75">
        <w:t>fifteen</w:t>
      </w:r>
      <w:r>
        <w:t xml:space="preserve"> </w:t>
      </w:r>
      <w:r w:rsidRPr="005A115D">
        <w:t>(</w:t>
      </w:r>
      <w:r>
        <w:t>1</w:t>
      </w:r>
      <w:r w:rsidR="00124A75">
        <w:t>5</w:t>
      </w:r>
      <w:r w:rsidRPr="005A115D">
        <w:t xml:space="preserve">) feet in width with a </w:t>
      </w:r>
      <w:r w:rsidR="00124A75">
        <w:t>ten</w:t>
      </w:r>
      <w:r w:rsidR="00154822">
        <w:t xml:space="preserve"> </w:t>
      </w:r>
      <w:r w:rsidRPr="005A115D">
        <w:t>(1</w:t>
      </w:r>
      <w:r w:rsidR="00154822">
        <w:t>0</w:t>
      </w:r>
      <w:r w:rsidRPr="005A115D">
        <w:t xml:space="preserve">) </w:t>
      </w:r>
      <w:r w:rsidR="00154822">
        <w:t xml:space="preserve">foot </w:t>
      </w:r>
      <w:r w:rsidRPr="005A115D">
        <w:t xml:space="preserve">minimum width and shall be maintained adjacent to preserved wetlands. For the purpose of this section, a preserved wetland shall mean a jurisdictional wetland regulated by the United States Army Corp of Engineers (USACE). The average wetland buffer area shall be equal to the area of a </w:t>
      </w:r>
      <w:r w:rsidR="00154822">
        <w:t>fifteen</w:t>
      </w:r>
      <w:r w:rsidRPr="005A115D">
        <w:t xml:space="preserve"> (</w:t>
      </w:r>
      <w:r w:rsidR="00154822">
        <w:t>1</w:t>
      </w:r>
      <w:r w:rsidRPr="005A115D">
        <w:t xml:space="preserve">5) foot wetland buffer.  </w:t>
      </w:r>
    </w:p>
    <w:p w14:paraId="791985EE" w14:textId="77777777" w:rsidR="0081691C" w:rsidRDefault="0081691C" w:rsidP="0081691C">
      <w:pPr>
        <w:pStyle w:val="ListParagraph"/>
      </w:pPr>
    </w:p>
    <w:p w14:paraId="7A93EDDF" w14:textId="2B9C5319" w:rsidR="00097FA7" w:rsidRDefault="0081691C" w:rsidP="009E0A3B">
      <w:pPr>
        <w:pStyle w:val="ListParagraph"/>
        <w:numPr>
          <w:ilvl w:val="0"/>
          <w:numId w:val="13"/>
        </w:numPr>
      </w:pPr>
      <w:r w:rsidRPr="0081691C">
        <w:t>When filling a wetland approved by the US Army Corps of Engineers (USACE), planting of a new wetland buffer is not required.</w:t>
      </w:r>
    </w:p>
    <w:p w14:paraId="47BBA964" w14:textId="77777777" w:rsidR="0081691C" w:rsidRDefault="0081691C" w:rsidP="0081691C">
      <w:pPr>
        <w:pStyle w:val="ListParagraph"/>
      </w:pPr>
    </w:p>
    <w:p w14:paraId="7FCC5026" w14:textId="77777777" w:rsidR="0081691C" w:rsidRDefault="0081691C" w:rsidP="009E0A3B">
      <w:pPr>
        <w:pStyle w:val="ListParagraph"/>
        <w:numPr>
          <w:ilvl w:val="0"/>
          <w:numId w:val="13"/>
        </w:numPr>
      </w:pPr>
      <w:r w:rsidRPr="0081691C">
        <w:t>The following uses may be allowed within the buffer area, subject to the normal tree protection regulations and review by the Zoning Administrator:</w:t>
      </w:r>
    </w:p>
    <w:p w14:paraId="55811A2F" w14:textId="77777777" w:rsidR="0081691C" w:rsidRDefault="0081691C" w:rsidP="0081691C">
      <w:pPr>
        <w:pStyle w:val="ListParagraph"/>
      </w:pPr>
    </w:p>
    <w:p w14:paraId="3022C6C1" w14:textId="77777777" w:rsidR="00446B77" w:rsidRDefault="0081691C" w:rsidP="009E0A3B">
      <w:pPr>
        <w:pStyle w:val="ListParagraph"/>
        <w:numPr>
          <w:ilvl w:val="1"/>
          <w:numId w:val="13"/>
        </w:numPr>
      </w:pPr>
      <w:r w:rsidRPr="0081691C">
        <w:t>Minimum utility line penetrations that must necessarily cross a wetland area without a reasonable alternative. Additionally, where a riparian buffer has previously been disturbed by utility entities within their respective easements, certain activity shall be permissible within the portion of the buffer disturbed or isolated by such utility activity.</w:t>
      </w:r>
    </w:p>
    <w:p w14:paraId="5D1A74B1" w14:textId="77777777" w:rsidR="00446B77" w:rsidRDefault="00446B77" w:rsidP="00446B77">
      <w:pPr>
        <w:pStyle w:val="ListParagraph"/>
        <w:ind w:left="1440"/>
      </w:pPr>
    </w:p>
    <w:p w14:paraId="5D7E0CBD" w14:textId="412FAD5C" w:rsidR="0081691C" w:rsidRDefault="0081691C" w:rsidP="009E0A3B">
      <w:pPr>
        <w:pStyle w:val="ListParagraph"/>
        <w:numPr>
          <w:ilvl w:val="1"/>
          <w:numId w:val="13"/>
        </w:numPr>
      </w:pPr>
      <w:r w:rsidRPr="0081691C">
        <w:t>Where natural vegetation may be absent within the buffer or insufficient to accomplish any degree of stormwater filtration or bank stabilization, additional plantings of indigenous grasses, shrubs and trees are permitted.</w:t>
      </w:r>
    </w:p>
    <w:p w14:paraId="36C2CCCD" w14:textId="77777777" w:rsidR="005A76DF" w:rsidRPr="001A0CC9" w:rsidRDefault="005A76DF" w:rsidP="005A76DF">
      <w:pPr>
        <w:pStyle w:val="ListParagraph"/>
        <w:rPr>
          <w:sz w:val="16"/>
          <w:szCs w:val="16"/>
        </w:rPr>
      </w:pPr>
    </w:p>
    <w:p w14:paraId="7A695A86" w14:textId="31C1F594" w:rsidR="005A76DF" w:rsidRDefault="001A0CC9" w:rsidP="005A76DF">
      <w:pPr>
        <w:pStyle w:val="Heading2"/>
      </w:pPr>
      <w:bookmarkStart w:id="27" w:name="_Toc149731098"/>
      <w:r>
        <w:t>B</w:t>
      </w:r>
      <w:r w:rsidR="005A76DF">
        <w:t xml:space="preserve">uilding </w:t>
      </w:r>
      <w:r>
        <w:t>M</w:t>
      </w:r>
      <w:r w:rsidR="005A76DF">
        <w:t>aterials</w:t>
      </w:r>
      <w:bookmarkEnd w:id="27"/>
    </w:p>
    <w:p w14:paraId="58725BC9" w14:textId="2133B969" w:rsidR="003A3FE1" w:rsidRPr="001A0CC9" w:rsidRDefault="003A3FE1" w:rsidP="00BC1243">
      <w:pPr>
        <w:ind w:left="360"/>
        <w:rPr>
          <w:sz w:val="16"/>
          <w:szCs w:val="16"/>
        </w:rPr>
      </w:pPr>
      <w:r w:rsidRPr="003A3FE1">
        <w:t xml:space="preserve">No building elevation constructed of unadorned concrete masonry units or corrugated and/or sheet metal shall front upon any existing public or private rights-of-way. However, insulated metal panels shall be permitted within the PDD. An example of insulated metal panels can be found in Appendix </w:t>
      </w:r>
      <w:r w:rsidR="009E59C0">
        <w:t>7</w:t>
      </w:r>
      <w:r w:rsidRPr="003A3FE1">
        <w:t>.</w:t>
      </w:r>
      <w:r w:rsidR="001A0CC9">
        <w:br/>
      </w:r>
    </w:p>
    <w:p w14:paraId="7A407643" w14:textId="4B32F8FD" w:rsidR="005A76DF" w:rsidRDefault="001A0CC9" w:rsidP="005A76DF">
      <w:pPr>
        <w:pStyle w:val="Heading2"/>
      </w:pPr>
      <w:bookmarkStart w:id="28" w:name="_Toc149731099"/>
      <w:r>
        <w:t>U</w:t>
      </w:r>
      <w:r w:rsidR="005A76DF">
        <w:t xml:space="preserve">tilities </w:t>
      </w:r>
      <w:r>
        <w:t>a</w:t>
      </w:r>
      <w:r w:rsidR="005A76DF">
        <w:t xml:space="preserve">nd </w:t>
      </w:r>
      <w:r>
        <w:t>L</w:t>
      </w:r>
      <w:r w:rsidR="005A76DF">
        <w:t>ighting</w:t>
      </w:r>
      <w:bookmarkEnd w:id="28"/>
    </w:p>
    <w:p w14:paraId="60664973" w14:textId="4BA55891" w:rsidR="003A3FE1" w:rsidRPr="001A0CC9" w:rsidRDefault="003A3FE1" w:rsidP="00BC1243">
      <w:pPr>
        <w:ind w:left="360"/>
        <w:rPr>
          <w:sz w:val="16"/>
          <w:szCs w:val="16"/>
        </w:rPr>
      </w:pPr>
      <w:r w:rsidRPr="003A3FE1">
        <w:t>Permanent utility lines such as distribution electric, telephone, cable TV, fiber optic, or other similar lines serving new sites as developed after adoption of this PDD as well as utility lines necessary within the property shall be placed underground. Existing overhead electric transmission lines shall be allowed within the PDD district.</w:t>
      </w:r>
      <w:r w:rsidR="001A0CC9">
        <w:br/>
      </w:r>
    </w:p>
    <w:p w14:paraId="16F7A7A6" w14:textId="3E0AA8E8" w:rsidR="005A76DF" w:rsidRDefault="001A0CC9" w:rsidP="005A76DF">
      <w:pPr>
        <w:pStyle w:val="Heading2"/>
      </w:pPr>
      <w:bookmarkStart w:id="29" w:name="_Toc149731100"/>
      <w:r>
        <w:t>O</w:t>
      </w:r>
      <w:r w:rsidR="005A76DF">
        <w:t>ff-</w:t>
      </w:r>
      <w:r>
        <w:t>S</w:t>
      </w:r>
      <w:r w:rsidR="005A76DF">
        <w:t xml:space="preserve">treet </w:t>
      </w:r>
      <w:r>
        <w:t>P</w:t>
      </w:r>
      <w:r w:rsidR="005A76DF">
        <w:t>arking</w:t>
      </w:r>
      <w:bookmarkEnd w:id="29"/>
    </w:p>
    <w:p w14:paraId="754D8029" w14:textId="21437F1B" w:rsidR="00F24190" w:rsidRPr="001A0CC9" w:rsidRDefault="00DB5D4E" w:rsidP="00B45E88">
      <w:pPr>
        <w:ind w:left="360"/>
        <w:rPr>
          <w:sz w:val="16"/>
          <w:szCs w:val="16"/>
        </w:rPr>
      </w:pPr>
      <w:r w:rsidRPr="00DB5D4E">
        <w:t>To allow for the efficient location of buildings, shared parking facilities may be provided within the PDD subject to the approval of the Zoning Administrator where two (2) or more land uses can be joined or coordinated to achieve efficiency of vehicular and pedestrian circulation, economy of space and a superior grouping of buildings or uses.</w:t>
      </w:r>
      <w:r w:rsidR="001A0CC9">
        <w:br/>
      </w:r>
    </w:p>
    <w:p w14:paraId="00B12130" w14:textId="3B67A9B0" w:rsidR="00C2161C" w:rsidRPr="001A0CC9" w:rsidRDefault="001A0CC9" w:rsidP="001A0CC9">
      <w:pPr>
        <w:pStyle w:val="Heading2"/>
      </w:pPr>
      <w:bookmarkStart w:id="30" w:name="_Toc149731101"/>
      <w:r>
        <w:t>S</w:t>
      </w:r>
      <w:r w:rsidRPr="001A0CC9">
        <w:t>tormwater Drainage Basin Study</w:t>
      </w:r>
      <w:bookmarkEnd w:id="30"/>
    </w:p>
    <w:p w14:paraId="0FD70B0F" w14:textId="356FECC6" w:rsidR="005D0C3E" w:rsidRPr="001A0CC9" w:rsidRDefault="005D0C3E" w:rsidP="00535045">
      <w:pPr>
        <w:ind w:left="360"/>
        <w:rPr>
          <w:sz w:val="16"/>
          <w:szCs w:val="16"/>
        </w:rPr>
      </w:pPr>
      <w:r>
        <w:t>All stormwater management facilities shall be designed, permitted, and constructed in accordance with the requirements of</w:t>
      </w:r>
      <w:r w:rsidR="00B36C5D">
        <w:t xml:space="preserve"> Berkeley County</w:t>
      </w:r>
      <w:r>
        <w:t xml:space="preserve"> and South Carolina Department of Health and Environmental Control’s Office of Ocean and Coastal Resource Management (SCDHEC – OCRM).  Crossings of major drainage features shall further comply with FEMA requirements.</w:t>
      </w:r>
      <w:r w:rsidR="001A0CC9">
        <w:br/>
      </w:r>
    </w:p>
    <w:p w14:paraId="57BDFE65" w14:textId="0950AAEA" w:rsidR="005D0C3E" w:rsidRPr="001A0CC9" w:rsidRDefault="00B45E88" w:rsidP="001A0CC9">
      <w:pPr>
        <w:pStyle w:val="Heading2"/>
      </w:pPr>
      <w:bookmarkStart w:id="31" w:name="_Toc149731102"/>
      <w:r w:rsidRPr="001A0CC9">
        <w:t>s</w:t>
      </w:r>
      <w:r w:rsidR="001A0CC9" w:rsidRPr="001A0CC9">
        <w:t>anitary Sewer and Domestic Water Utility Plan</w:t>
      </w:r>
      <w:bookmarkEnd w:id="31"/>
    </w:p>
    <w:p w14:paraId="4BF98E17" w14:textId="4A65D0C9" w:rsidR="00A5150F" w:rsidRPr="006A4E93" w:rsidRDefault="00714BDC" w:rsidP="00535045">
      <w:pPr>
        <w:ind w:left="360"/>
      </w:pPr>
      <w:r>
        <w:t>CWS and BCWS letters of intent stating their willingness and ability to serve the development are included as Appendix</w:t>
      </w:r>
      <w:r w:rsidR="009E59C0">
        <w:t xml:space="preserve"> 8.</w:t>
      </w:r>
    </w:p>
    <w:sectPr w:rsidR="00A5150F" w:rsidRPr="006A4E93" w:rsidSect="00D20C69">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8054" w14:textId="77777777" w:rsidR="002C05F1" w:rsidRDefault="002C05F1" w:rsidP="00BD386F">
      <w:pPr>
        <w:spacing w:after="0" w:line="240" w:lineRule="auto"/>
      </w:pPr>
      <w:r>
        <w:separator/>
      </w:r>
    </w:p>
  </w:endnote>
  <w:endnote w:type="continuationSeparator" w:id="0">
    <w:p w14:paraId="7FBE6BE5" w14:textId="77777777" w:rsidR="002C05F1" w:rsidRDefault="002C05F1" w:rsidP="00BD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norite">
    <w:charset w:val="00"/>
    <w:family w:val="auto"/>
    <w:pitch w:val="variable"/>
    <w:sig w:usb0="80000003" w:usb1="00000001"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0302" w14:textId="414D1526" w:rsidR="00BD386F" w:rsidRPr="00761A47" w:rsidRDefault="00BD386F" w:rsidP="00BD386F">
    <w:pPr>
      <w:jc w:val="center"/>
      <w:rPr>
        <w:rFonts w:ascii="Tenorite" w:hAnsi="Tenorite"/>
        <w:noProof/>
        <w:color w:val="006072"/>
        <w:sz w:val="18"/>
        <w:szCs w:val="18"/>
      </w:rPr>
    </w:pPr>
    <w:r w:rsidRPr="00761A47">
      <w:rPr>
        <w:rFonts w:ascii="Tenorite" w:hAnsi="Tenorite"/>
        <w:b/>
        <w:bCs/>
        <w:color w:val="006072"/>
        <w:sz w:val="18"/>
        <w:szCs w:val="18"/>
      </w:rPr>
      <w:t xml:space="preserve">ANCRUM </w:t>
    </w:r>
    <w:r w:rsidR="007A6F59" w:rsidRPr="00761A47">
      <w:rPr>
        <w:rFonts w:ascii="Tenorite" w:hAnsi="Tenorite"/>
        <w:b/>
        <w:bCs/>
        <w:color w:val="006072"/>
        <w:sz w:val="18"/>
        <w:szCs w:val="18"/>
      </w:rPr>
      <w:t>DEVELOPMENT</w:t>
    </w:r>
    <w:r w:rsidRPr="00761A47">
      <w:rPr>
        <w:rFonts w:ascii="Tenorite" w:hAnsi="Tenorite"/>
        <w:b/>
        <w:bCs/>
        <w:color w:val="006072"/>
        <w:sz w:val="18"/>
        <w:szCs w:val="18"/>
      </w:rPr>
      <w:tab/>
    </w:r>
    <w:r w:rsidRPr="00761A47">
      <w:rPr>
        <w:rFonts w:ascii="Tenorite" w:hAnsi="Tenorite"/>
        <w:color w:val="006072"/>
        <w:sz w:val="18"/>
        <w:szCs w:val="18"/>
      </w:rPr>
      <w:tab/>
    </w:r>
    <w:r w:rsidRPr="00761A47">
      <w:rPr>
        <w:rFonts w:ascii="Tenorite" w:hAnsi="Tenorite"/>
        <w:color w:val="006072"/>
        <w:sz w:val="18"/>
        <w:szCs w:val="18"/>
      </w:rPr>
      <w:tab/>
    </w:r>
    <w:r w:rsidRPr="00761A47">
      <w:rPr>
        <w:rFonts w:ascii="Tenorite" w:hAnsi="Tenorite"/>
        <w:color w:val="006072"/>
        <w:sz w:val="18"/>
        <w:szCs w:val="18"/>
      </w:rPr>
      <w:tab/>
    </w:r>
    <w:r w:rsidRPr="00761A47">
      <w:rPr>
        <w:rFonts w:ascii="Tenorite" w:hAnsi="Tenorite"/>
        <w:color w:val="006072"/>
        <w:sz w:val="18"/>
        <w:szCs w:val="18"/>
      </w:rPr>
      <w:tab/>
    </w:r>
    <w:r w:rsidRPr="00761A47">
      <w:rPr>
        <w:rFonts w:ascii="Tenorite" w:hAnsi="Tenorite"/>
        <w:color w:val="006072"/>
        <w:sz w:val="18"/>
        <w:szCs w:val="18"/>
      </w:rPr>
      <w:tab/>
    </w:r>
    <w:r w:rsidRPr="00761A47">
      <w:rPr>
        <w:rFonts w:ascii="Tenorite" w:hAnsi="Tenorite"/>
        <w:color w:val="006072"/>
        <w:sz w:val="18"/>
        <w:szCs w:val="18"/>
      </w:rPr>
      <w:tab/>
    </w:r>
    <w:r w:rsidRPr="00761A47">
      <w:rPr>
        <w:rFonts w:ascii="Tenorite" w:hAnsi="Tenorite"/>
        <w:color w:val="006072"/>
        <w:sz w:val="18"/>
        <w:szCs w:val="18"/>
      </w:rPr>
      <w:tab/>
    </w:r>
    <w:r w:rsidRPr="00761A47">
      <w:rPr>
        <w:rFonts w:ascii="Tenorite" w:hAnsi="Tenorite"/>
        <w:color w:val="006072"/>
        <w:sz w:val="18"/>
        <w:szCs w:val="18"/>
      </w:rPr>
      <w:tab/>
    </w:r>
    <w:r w:rsidR="00761A47" w:rsidRPr="00761A47">
      <w:rPr>
        <w:rFonts w:ascii="Tenorite" w:hAnsi="Tenorite"/>
        <w:color w:val="006072"/>
        <w:sz w:val="18"/>
        <w:szCs w:val="18"/>
      </w:rPr>
      <w:t xml:space="preserve">             </w:t>
    </w:r>
    <w:r w:rsidRPr="00761A47">
      <w:rPr>
        <w:rFonts w:ascii="Tenorite" w:hAnsi="Tenorite"/>
        <w:color w:val="006072"/>
        <w:sz w:val="18"/>
        <w:szCs w:val="18"/>
      </w:rPr>
      <w:t xml:space="preserve"> PAGE |</w:t>
    </w:r>
    <w:r w:rsidRPr="00761A47">
      <w:rPr>
        <w:rFonts w:ascii="Tenorite" w:hAnsi="Tenorite"/>
        <w:b/>
        <w:bCs/>
        <w:color w:val="006072"/>
        <w:sz w:val="18"/>
        <w:szCs w:val="18"/>
      </w:rPr>
      <w:t xml:space="preserve"> </w:t>
    </w:r>
    <w:r w:rsidRPr="00761A47">
      <w:rPr>
        <w:rFonts w:ascii="Tenorite" w:hAnsi="Tenorite"/>
        <w:b/>
        <w:bCs/>
        <w:color w:val="006072"/>
        <w:sz w:val="18"/>
        <w:szCs w:val="18"/>
      </w:rPr>
      <w:fldChar w:fldCharType="begin"/>
    </w:r>
    <w:r w:rsidRPr="00761A47">
      <w:rPr>
        <w:rFonts w:ascii="Tenorite" w:hAnsi="Tenorite"/>
        <w:b/>
        <w:bCs/>
        <w:color w:val="006072"/>
        <w:sz w:val="18"/>
        <w:szCs w:val="18"/>
      </w:rPr>
      <w:instrText xml:space="preserve"> PAGE   \* MERGEFORMAT </w:instrText>
    </w:r>
    <w:r w:rsidRPr="00761A47">
      <w:rPr>
        <w:rFonts w:ascii="Tenorite" w:hAnsi="Tenorite"/>
        <w:b/>
        <w:bCs/>
        <w:color w:val="006072"/>
        <w:sz w:val="18"/>
        <w:szCs w:val="18"/>
      </w:rPr>
      <w:fldChar w:fldCharType="separate"/>
    </w:r>
    <w:r w:rsidRPr="00761A47">
      <w:rPr>
        <w:rFonts w:ascii="Tenorite" w:hAnsi="Tenorite"/>
        <w:b/>
        <w:bCs/>
        <w:noProof/>
        <w:color w:val="006072"/>
        <w:sz w:val="18"/>
        <w:szCs w:val="18"/>
      </w:rPr>
      <w:t>2</w:t>
    </w:r>
    <w:r w:rsidRPr="00761A47">
      <w:rPr>
        <w:rFonts w:ascii="Tenorite" w:hAnsi="Tenorite"/>
        <w:b/>
        <w:bCs/>
        <w:noProof/>
        <w:color w:val="00607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9291" w14:textId="77777777" w:rsidR="002C05F1" w:rsidRDefault="002C05F1" w:rsidP="00BD386F">
      <w:pPr>
        <w:spacing w:after="0" w:line="240" w:lineRule="auto"/>
      </w:pPr>
      <w:r>
        <w:separator/>
      </w:r>
    </w:p>
  </w:footnote>
  <w:footnote w:type="continuationSeparator" w:id="0">
    <w:p w14:paraId="7D4CB3D0" w14:textId="77777777" w:rsidR="002C05F1" w:rsidRDefault="002C05F1" w:rsidP="00BD3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CCB"/>
    <w:multiLevelType w:val="hybridMultilevel"/>
    <w:tmpl w:val="D13A346A"/>
    <w:lvl w:ilvl="0" w:tplc="F3CC63E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66A4E"/>
    <w:multiLevelType w:val="hybridMultilevel"/>
    <w:tmpl w:val="0C103D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63F69"/>
    <w:multiLevelType w:val="hybridMultilevel"/>
    <w:tmpl w:val="CECAB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66B2F"/>
    <w:multiLevelType w:val="hybridMultilevel"/>
    <w:tmpl w:val="5692AE0E"/>
    <w:lvl w:ilvl="0" w:tplc="B7CC9A86">
      <w:start w:val="1"/>
      <w:numFmt w:val="upperLetter"/>
      <w:pStyle w:val="Heading2"/>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91932"/>
    <w:multiLevelType w:val="hybridMultilevel"/>
    <w:tmpl w:val="15FCAD86"/>
    <w:lvl w:ilvl="0" w:tplc="89A4E9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6E2BBB"/>
    <w:multiLevelType w:val="hybridMultilevel"/>
    <w:tmpl w:val="A4AE3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10A0F"/>
    <w:multiLevelType w:val="hybridMultilevel"/>
    <w:tmpl w:val="0308B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F5D8B"/>
    <w:multiLevelType w:val="hybridMultilevel"/>
    <w:tmpl w:val="A31E6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E2805"/>
    <w:multiLevelType w:val="hybridMultilevel"/>
    <w:tmpl w:val="082A91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5006B"/>
    <w:multiLevelType w:val="hybridMultilevel"/>
    <w:tmpl w:val="D526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61386"/>
    <w:multiLevelType w:val="hybridMultilevel"/>
    <w:tmpl w:val="5A280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16195"/>
    <w:multiLevelType w:val="hybridMultilevel"/>
    <w:tmpl w:val="8952B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97D2F"/>
    <w:multiLevelType w:val="hybridMultilevel"/>
    <w:tmpl w:val="51582F06"/>
    <w:lvl w:ilvl="0" w:tplc="0409000F">
      <w:start w:val="1"/>
      <w:numFmt w:val="decimal"/>
      <w:lvlText w:val="%1."/>
      <w:lvlJc w:val="left"/>
      <w:pPr>
        <w:ind w:left="720" w:hanging="360"/>
      </w:pPr>
      <w:rPr>
        <w:rFonts w:hint="default"/>
      </w:rPr>
    </w:lvl>
    <w:lvl w:ilvl="1" w:tplc="15D27F7A">
      <w:start w:val="1"/>
      <w:numFmt w:val="lowerLetter"/>
      <w:lvlText w:val="(%2)"/>
      <w:lvlJc w:val="left"/>
      <w:pPr>
        <w:ind w:left="1440" w:hanging="360"/>
      </w:pPr>
      <w:rPr>
        <w:rFonts w:hint="default"/>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712277">
    <w:abstractNumId w:val="0"/>
  </w:num>
  <w:num w:numId="2" w16cid:durableId="1093088426">
    <w:abstractNumId w:val="3"/>
  </w:num>
  <w:num w:numId="3" w16cid:durableId="1554468289">
    <w:abstractNumId w:val="5"/>
  </w:num>
  <w:num w:numId="4" w16cid:durableId="2134399639">
    <w:abstractNumId w:val="3"/>
    <w:lvlOverride w:ilvl="0">
      <w:startOverride w:val="1"/>
    </w:lvlOverride>
  </w:num>
  <w:num w:numId="5" w16cid:durableId="1167550265">
    <w:abstractNumId w:val="3"/>
    <w:lvlOverride w:ilvl="0">
      <w:startOverride w:val="1"/>
    </w:lvlOverride>
  </w:num>
  <w:num w:numId="6" w16cid:durableId="1490442687">
    <w:abstractNumId w:val="12"/>
  </w:num>
  <w:num w:numId="7" w16cid:durableId="441649896">
    <w:abstractNumId w:val="3"/>
    <w:lvlOverride w:ilvl="0">
      <w:startOverride w:val="1"/>
    </w:lvlOverride>
  </w:num>
  <w:num w:numId="8" w16cid:durableId="1636369257">
    <w:abstractNumId w:val="6"/>
  </w:num>
  <w:num w:numId="9" w16cid:durableId="1482849163">
    <w:abstractNumId w:val="2"/>
  </w:num>
  <w:num w:numId="10" w16cid:durableId="270286669">
    <w:abstractNumId w:val="10"/>
  </w:num>
  <w:num w:numId="11" w16cid:durableId="450369763">
    <w:abstractNumId w:val="8"/>
  </w:num>
  <w:num w:numId="12" w16cid:durableId="145435999">
    <w:abstractNumId w:val="7"/>
  </w:num>
  <w:num w:numId="13" w16cid:durableId="595677979">
    <w:abstractNumId w:val="1"/>
  </w:num>
  <w:num w:numId="14" w16cid:durableId="548610943">
    <w:abstractNumId w:val="9"/>
  </w:num>
  <w:num w:numId="15" w16cid:durableId="572618271">
    <w:abstractNumId w:val="11"/>
  </w:num>
  <w:num w:numId="16" w16cid:durableId="114027096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64"/>
    <w:rsid w:val="00000A0C"/>
    <w:rsid w:val="00001971"/>
    <w:rsid w:val="00002BD3"/>
    <w:rsid w:val="00006DCD"/>
    <w:rsid w:val="0001248F"/>
    <w:rsid w:val="0001334E"/>
    <w:rsid w:val="00013A37"/>
    <w:rsid w:val="0001428A"/>
    <w:rsid w:val="000205B1"/>
    <w:rsid w:val="00026FB0"/>
    <w:rsid w:val="00030512"/>
    <w:rsid w:val="0003156F"/>
    <w:rsid w:val="000337F6"/>
    <w:rsid w:val="00033DA9"/>
    <w:rsid w:val="00034675"/>
    <w:rsid w:val="000355D4"/>
    <w:rsid w:val="000400D2"/>
    <w:rsid w:val="00042EB2"/>
    <w:rsid w:val="00044768"/>
    <w:rsid w:val="0005056D"/>
    <w:rsid w:val="00052608"/>
    <w:rsid w:val="000535AA"/>
    <w:rsid w:val="000548E9"/>
    <w:rsid w:val="00061C14"/>
    <w:rsid w:val="0006277E"/>
    <w:rsid w:val="00063735"/>
    <w:rsid w:val="00065841"/>
    <w:rsid w:val="00066F08"/>
    <w:rsid w:val="0006726E"/>
    <w:rsid w:val="00070B24"/>
    <w:rsid w:val="0007181B"/>
    <w:rsid w:val="00073786"/>
    <w:rsid w:val="00076144"/>
    <w:rsid w:val="000803ED"/>
    <w:rsid w:val="0008062C"/>
    <w:rsid w:val="00080CD8"/>
    <w:rsid w:val="00081F15"/>
    <w:rsid w:val="000821DE"/>
    <w:rsid w:val="00082D34"/>
    <w:rsid w:val="000841A4"/>
    <w:rsid w:val="00090084"/>
    <w:rsid w:val="00090BEC"/>
    <w:rsid w:val="00093E45"/>
    <w:rsid w:val="00097C8F"/>
    <w:rsid w:val="00097FA7"/>
    <w:rsid w:val="000A0DF2"/>
    <w:rsid w:val="000A28D1"/>
    <w:rsid w:val="000A309F"/>
    <w:rsid w:val="000A4051"/>
    <w:rsid w:val="000B23A9"/>
    <w:rsid w:val="000B276A"/>
    <w:rsid w:val="000B3281"/>
    <w:rsid w:val="000B342D"/>
    <w:rsid w:val="000B4704"/>
    <w:rsid w:val="000B6871"/>
    <w:rsid w:val="000C32CA"/>
    <w:rsid w:val="000D6992"/>
    <w:rsid w:val="000D739F"/>
    <w:rsid w:val="000E0004"/>
    <w:rsid w:val="000E0880"/>
    <w:rsid w:val="000E31F7"/>
    <w:rsid w:val="000E3372"/>
    <w:rsid w:val="000F6326"/>
    <w:rsid w:val="00106752"/>
    <w:rsid w:val="00107201"/>
    <w:rsid w:val="001075A2"/>
    <w:rsid w:val="001075BD"/>
    <w:rsid w:val="00107E9C"/>
    <w:rsid w:val="0011033E"/>
    <w:rsid w:val="001137E7"/>
    <w:rsid w:val="0011467B"/>
    <w:rsid w:val="001209DD"/>
    <w:rsid w:val="00120D28"/>
    <w:rsid w:val="001225C6"/>
    <w:rsid w:val="001235D8"/>
    <w:rsid w:val="00124A75"/>
    <w:rsid w:val="00126EC4"/>
    <w:rsid w:val="00135211"/>
    <w:rsid w:val="00145AA1"/>
    <w:rsid w:val="00146356"/>
    <w:rsid w:val="00146B3A"/>
    <w:rsid w:val="001474B8"/>
    <w:rsid w:val="00147615"/>
    <w:rsid w:val="0014772A"/>
    <w:rsid w:val="001534FC"/>
    <w:rsid w:val="0015450E"/>
    <w:rsid w:val="00154822"/>
    <w:rsid w:val="001563D9"/>
    <w:rsid w:val="00156837"/>
    <w:rsid w:val="001577B5"/>
    <w:rsid w:val="00160D7F"/>
    <w:rsid w:val="00161B77"/>
    <w:rsid w:val="00162517"/>
    <w:rsid w:val="00164001"/>
    <w:rsid w:val="00167DDC"/>
    <w:rsid w:val="00177884"/>
    <w:rsid w:val="001804D9"/>
    <w:rsid w:val="00181626"/>
    <w:rsid w:val="00181CCC"/>
    <w:rsid w:val="00185E78"/>
    <w:rsid w:val="00187090"/>
    <w:rsid w:val="00187A9F"/>
    <w:rsid w:val="00192DDC"/>
    <w:rsid w:val="00193BB1"/>
    <w:rsid w:val="00196841"/>
    <w:rsid w:val="001A0CC9"/>
    <w:rsid w:val="001A226C"/>
    <w:rsid w:val="001A3ED7"/>
    <w:rsid w:val="001A5F53"/>
    <w:rsid w:val="001A636A"/>
    <w:rsid w:val="001A6868"/>
    <w:rsid w:val="001B2629"/>
    <w:rsid w:val="001B447D"/>
    <w:rsid w:val="001B62E3"/>
    <w:rsid w:val="001B6FEB"/>
    <w:rsid w:val="001B7549"/>
    <w:rsid w:val="001C19BC"/>
    <w:rsid w:val="001C704E"/>
    <w:rsid w:val="001C77D1"/>
    <w:rsid w:val="001D1457"/>
    <w:rsid w:val="001D1AB0"/>
    <w:rsid w:val="001D3341"/>
    <w:rsid w:val="001E0876"/>
    <w:rsid w:val="001E0A70"/>
    <w:rsid w:val="001E24E1"/>
    <w:rsid w:val="001E40DF"/>
    <w:rsid w:val="001E65B2"/>
    <w:rsid w:val="001E6C10"/>
    <w:rsid w:val="001E70BE"/>
    <w:rsid w:val="001F0EF8"/>
    <w:rsid w:val="001F226B"/>
    <w:rsid w:val="001F694F"/>
    <w:rsid w:val="001F6B99"/>
    <w:rsid w:val="002003F8"/>
    <w:rsid w:val="00204622"/>
    <w:rsid w:val="00211282"/>
    <w:rsid w:val="00211887"/>
    <w:rsid w:val="00211EC5"/>
    <w:rsid w:val="002162F5"/>
    <w:rsid w:val="0022306D"/>
    <w:rsid w:val="00224D2D"/>
    <w:rsid w:val="002279A9"/>
    <w:rsid w:val="00233552"/>
    <w:rsid w:val="00240023"/>
    <w:rsid w:val="00242140"/>
    <w:rsid w:val="00242E10"/>
    <w:rsid w:val="002443BB"/>
    <w:rsid w:val="00253785"/>
    <w:rsid w:val="00255287"/>
    <w:rsid w:val="002567AB"/>
    <w:rsid w:val="00260BBE"/>
    <w:rsid w:val="00261499"/>
    <w:rsid w:val="002620DC"/>
    <w:rsid w:val="00266E7C"/>
    <w:rsid w:val="00272954"/>
    <w:rsid w:val="0027769B"/>
    <w:rsid w:val="002805BF"/>
    <w:rsid w:val="00283069"/>
    <w:rsid w:val="0029728F"/>
    <w:rsid w:val="002A4DD3"/>
    <w:rsid w:val="002A5A29"/>
    <w:rsid w:val="002B18E2"/>
    <w:rsid w:val="002B24EB"/>
    <w:rsid w:val="002B3A44"/>
    <w:rsid w:val="002B64B6"/>
    <w:rsid w:val="002C05F1"/>
    <w:rsid w:val="002C0FFA"/>
    <w:rsid w:val="002C1214"/>
    <w:rsid w:val="002C1602"/>
    <w:rsid w:val="002D57C9"/>
    <w:rsid w:val="002D5801"/>
    <w:rsid w:val="002E136E"/>
    <w:rsid w:val="002F2F0A"/>
    <w:rsid w:val="002F3639"/>
    <w:rsid w:val="002F382B"/>
    <w:rsid w:val="002F634E"/>
    <w:rsid w:val="00302532"/>
    <w:rsid w:val="0030486E"/>
    <w:rsid w:val="00304BFB"/>
    <w:rsid w:val="00306324"/>
    <w:rsid w:val="00306CC2"/>
    <w:rsid w:val="00310365"/>
    <w:rsid w:val="00312631"/>
    <w:rsid w:val="003172E1"/>
    <w:rsid w:val="003227E0"/>
    <w:rsid w:val="0032690A"/>
    <w:rsid w:val="003270BA"/>
    <w:rsid w:val="0033075B"/>
    <w:rsid w:val="00333410"/>
    <w:rsid w:val="00336D73"/>
    <w:rsid w:val="00343B5A"/>
    <w:rsid w:val="00343BF5"/>
    <w:rsid w:val="00344606"/>
    <w:rsid w:val="003502F7"/>
    <w:rsid w:val="003507B4"/>
    <w:rsid w:val="003511FF"/>
    <w:rsid w:val="0035556E"/>
    <w:rsid w:val="003561B2"/>
    <w:rsid w:val="0035675A"/>
    <w:rsid w:val="00357CAB"/>
    <w:rsid w:val="00363EAB"/>
    <w:rsid w:val="00363FB2"/>
    <w:rsid w:val="0036462C"/>
    <w:rsid w:val="003652A7"/>
    <w:rsid w:val="00370832"/>
    <w:rsid w:val="00370CCE"/>
    <w:rsid w:val="003713B1"/>
    <w:rsid w:val="00373328"/>
    <w:rsid w:val="00373D8A"/>
    <w:rsid w:val="00374669"/>
    <w:rsid w:val="00374C6E"/>
    <w:rsid w:val="00382561"/>
    <w:rsid w:val="00382756"/>
    <w:rsid w:val="00382F11"/>
    <w:rsid w:val="00384C0B"/>
    <w:rsid w:val="00384E53"/>
    <w:rsid w:val="003865A2"/>
    <w:rsid w:val="003866A6"/>
    <w:rsid w:val="00393209"/>
    <w:rsid w:val="00395F5C"/>
    <w:rsid w:val="003A3C96"/>
    <w:rsid w:val="003A3FE1"/>
    <w:rsid w:val="003A7F0A"/>
    <w:rsid w:val="003B0CAD"/>
    <w:rsid w:val="003B1C86"/>
    <w:rsid w:val="003B2DB8"/>
    <w:rsid w:val="003B4F1E"/>
    <w:rsid w:val="003B569F"/>
    <w:rsid w:val="003B5C3F"/>
    <w:rsid w:val="003C1B3A"/>
    <w:rsid w:val="003C3A1B"/>
    <w:rsid w:val="003C3AB7"/>
    <w:rsid w:val="003D7F0A"/>
    <w:rsid w:val="003E1D0C"/>
    <w:rsid w:val="003E25D4"/>
    <w:rsid w:val="003E28D3"/>
    <w:rsid w:val="003E7B10"/>
    <w:rsid w:val="003F4E1C"/>
    <w:rsid w:val="003F791E"/>
    <w:rsid w:val="00401933"/>
    <w:rsid w:val="004066EC"/>
    <w:rsid w:val="00412F20"/>
    <w:rsid w:val="00412F94"/>
    <w:rsid w:val="00416DA7"/>
    <w:rsid w:val="004206BF"/>
    <w:rsid w:val="00421793"/>
    <w:rsid w:val="00422DED"/>
    <w:rsid w:val="004243DA"/>
    <w:rsid w:val="00426934"/>
    <w:rsid w:val="00431F31"/>
    <w:rsid w:val="004324DD"/>
    <w:rsid w:val="004337BA"/>
    <w:rsid w:val="00433B91"/>
    <w:rsid w:val="00433E33"/>
    <w:rsid w:val="00436960"/>
    <w:rsid w:val="00437A6B"/>
    <w:rsid w:val="004415D7"/>
    <w:rsid w:val="00441719"/>
    <w:rsid w:val="00441F3C"/>
    <w:rsid w:val="00444688"/>
    <w:rsid w:val="00446B77"/>
    <w:rsid w:val="00447446"/>
    <w:rsid w:val="00447B7B"/>
    <w:rsid w:val="00447CEE"/>
    <w:rsid w:val="00452D25"/>
    <w:rsid w:val="00453D65"/>
    <w:rsid w:val="00455288"/>
    <w:rsid w:val="00456D06"/>
    <w:rsid w:val="00456E54"/>
    <w:rsid w:val="00465C16"/>
    <w:rsid w:val="004669F6"/>
    <w:rsid w:val="00466BD2"/>
    <w:rsid w:val="00472AB9"/>
    <w:rsid w:val="00474849"/>
    <w:rsid w:val="004751B5"/>
    <w:rsid w:val="0047634A"/>
    <w:rsid w:val="00482617"/>
    <w:rsid w:val="00482AA2"/>
    <w:rsid w:val="00484650"/>
    <w:rsid w:val="00484B98"/>
    <w:rsid w:val="00487362"/>
    <w:rsid w:val="00492DD1"/>
    <w:rsid w:val="00493433"/>
    <w:rsid w:val="004A48DB"/>
    <w:rsid w:val="004B43D1"/>
    <w:rsid w:val="004C67C3"/>
    <w:rsid w:val="004D0979"/>
    <w:rsid w:val="004D0E83"/>
    <w:rsid w:val="004D1948"/>
    <w:rsid w:val="004D1B51"/>
    <w:rsid w:val="004D27DF"/>
    <w:rsid w:val="004D3846"/>
    <w:rsid w:val="004D76DF"/>
    <w:rsid w:val="004E44F9"/>
    <w:rsid w:val="004E4F2F"/>
    <w:rsid w:val="004F5992"/>
    <w:rsid w:val="004F59DF"/>
    <w:rsid w:val="004F5FD6"/>
    <w:rsid w:val="005005FA"/>
    <w:rsid w:val="00500CB0"/>
    <w:rsid w:val="00503906"/>
    <w:rsid w:val="005051F7"/>
    <w:rsid w:val="0050782E"/>
    <w:rsid w:val="00516848"/>
    <w:rsid w:val="00535045"/>
    <w:rsid w:val="00536B2C"/>
    <w:rsid w:val="00536D60"/>
    <w:rsid w:val="00541C4C"/>
    <w:rsid w:val="005431F5"/>
    <w:rsid w:val="005444F0"/>
    <w:rsid w:val="005455D1"/>
    <w:rsid w:val="00545606"/>
    <w:rsid w:val="00550BE3"/>
    <w:rsid w:val="00555F8F"/>
    <w:rsid w:val="005566C2"/>
    <w:rsid w:val="00563006"/>
    <w:rsid w:val="00563A05"/>
    <w:rsid w:val="0056414B"/>
    <w:rsid w:val="0056512B"/>
    <w:rsid w:val="00565165"/>
    <w:rsid w:val="005718FF"/>
    <w:rsid w:val="005734C2"/>
    <w:rsid w:val="00574B47"/>
    <w:rsid w:val="005909B9"/>
    <w:rsid w:val="00590BCD"/>
    <w:rsid w:val="005923E5"/>
    <w:rsid w:val="00592715"/>
    <w:rsid w:val="00594847"/>
    <w:rsid w:val="005951C8"/>
    <w:rsid w:val="005A115D"/>
    <w:rsid w:val="005A5B20"/>
    <w:rsid w:val="005A68E1"/>
    <w:rsid w:val="005A76DF"/>
    <w:rsid w:val="005A7B28"/>
    <w:rsid w:val="005B0646"/>
    <w:rsid w:val="005B484A"/>
    <w:rsid w:val="005B53E3"/>
    <w:rsid w:val="005B5FC1"/>
    <w:rsid w:val="005C11CD"/>
    <w:rsid w:val="005C3BE6"/>
    <w:rsid w:val="005C54CF"/>
    <w:rsid w:val="005C7F85"/>
    <w:rsid w:val="005D0C3E"/>
    <w:rsid w:val="005D0E81"/>
    <w:rsid w:val="005D10C5"/>
    <w:rsid w:val="005D1BF7"/>
    <w:rsid w:val="005D297E"/>
    <w:rsid w:val="005D37AB"/>
    <w:rsid w:val="005D3AB8"/>
    <w:rsid w:val="005D446E"/>
    <w:rsid w:val="005D69B6"/>
    <w:rsid w:val="005D70D9"/>
    <w:rsid w:val="005D724D"/>
    <w:rsid w:val="005E1649"/>
    <w:rsid w:val="005E16B2"/>
    <w:rsid w:val="005E4F8F"/>
    <w:rsid w:val="005E7A86"/>
    <w:rsid w:val="005F00A0"/>
    <w:rsid w:val="005F6CCC"/>
    <w:rsid w:val="005F76D8"/>
    <w:rsid w:val="006038C8"/>
    <w:rsid w:val="0060574A"/>
    <w:rsid w:val="0060622C"/>
    <w:rsid w:val="006105E1"/>
    <w:rsid w:val="00610BF8"/>
    <w:rsid w:val="00612825"/>
    <w:rsid w:val="00612CEC"/>
    <w:rsid w:val="00620337"/>
    <w:rsid w:val="006205C2"/>
    <w:rsid w:val="00621C43"/>
    <w:rsid w:val="00622B4D"/>
    <w:rsid w:val="00623F08"/>
    <w:rsid w:val="00627A6C"/>
    <w:rsid w:val="006319A2"/>
    <w:rsid w:val="006325DA"/>
    <w:rsid w:val="00632E41"/>
    <w:rsid w:val="006331A6"/>
    <w:rsid w:val="00634041"/>
    <w:rsid w:val="006351C9"/>
    <w:rsid w:val="006361EA"/>
    <w:rsid w:val="006364FF"/>
    <w:rsid w:val="006370B3"/>
    <w:rsid w:val="00643B0B"/>
    <w:rsid w:val="00645D8A"/>
    <w:rsid w:val="0064608E"/>
    <w:rsid w:val="006464FA"/>
    <w:rsid w:val="006468A8"/>
    <w:rsid w:val="00646C95"/>
    <w:rsid w:val="00647014"/>
    <w:rsid w:val="0065130D"/>
    <w:rsid w:val="0065676D"/>
    <w:rsid w:val="0065699E"/>
    <w:rsid w:val="00656CC7"/>
    <w:rsid w:val="00660588"/>
    <w:rsid w:val="00660733"/>
    <w:rsid w:val="00660EAC"/>
    <w:rsid w:val="00664B00"/>
    <w:rsid w:val="00664FE9"/>
    <w:rsid w:val="00675044"/>
    <w:rsid w:val="00680AD9"/>
    <w:rsid w:val="00685681"/>
    <w:rsid w:val="00685B40"/>
    <w:rsid w:val="0068708D"/>
    <w:rsid w:val="0069106E"/>
    <w:rsid w:val="00693354"/>
    <w:rsid w:val="00695746"/>
    <w:rsid w:val="0069660F"/>
    <w:rsid w:val="006A0A7B"/>
    <w:rsid w:val="006A3670"/>
    <w:rsid w:val="006A4E93"/>
    <w:rsid w:val="006B0337"/>
    <w:rsid w:val="006B1A7E"/>
    <w:rsid w:val="006B2D6B"/>
    <w:rsid w:val="006B6489"/>
    <w:rsid w:val="006C74CD"/>
    <w:rsid w:val="006D2AB5"/>
    <w:rsid w:val="006D6C9C"/>
    <w:rsid w:val="006E1FBA"/>
    <w:rsid w:val="006E22E3"/>
    <w:rsid w:val="006E72DC"/>
    <w:rsid w:val="006E7CDD"/>
    <w:rsid w:val="006F3A23"/>
    <w:rsid w:val="006F4C42"/>
    <w:rsid w:val="006F5977"/>
    <w:rsid w:val="0070011C"/>
    <w:rsid w:val="0070065A"/>
    <w:rsid w:val="00701149"/>
    <w:rsid w:val="00702553"/>
    <w:rsid w:val="00704B4A"/>
    <w:rsid w:val="00705494"/>
    <w:rsid w:val="007057C9"/>
    <w:rsid w:val="00711285"/>
    <w:rsid w:val="00714BDC"/>
    <w:rsid w:val="00714CF2"/>
    <w:rsid w:val="0071788C"/>
    <w:rsid w:val="00720768"/>
    <w:rsid w:val="00722204"/>
    <w:rsid w:val="007242A6"/>
    <w:rsid w:val="007277F9"/>
    <w:rsid w:val="007348A6"/>
    <w:rsid w:val="0073529D"/>
    <w:rsid w:val="007369BB"/>
    <w:rsid w:val="00742E76"/>
    <w:rsid w:val="007434C3"/>
    <w:rsid w:val="00747361"/>
    <w:rsid w:val="007477AE"/>
    <w:rsid w:val="00752339"/>
    <w:rsid w:val="00761A47"/>
    <w:rsid w:val="00761BFA"/>
    <w:rsid w:val="00762B14"/>
    <w:rsid w:val="00764AD7"/>
    <w:rsid w:val="00764D39"/>
    <w:rsid w:val="0076548F"/>
    <w:rsid w:val="0077090D"/>
    <w:rsid w:val="0077184C"/>
    <w:rsid w:val="0077198A"/>
    <w:rsid w:val="00771F30"/>
    <w:rsid w:val="00772ED6"/>
    <w:rsid w:val="0077444D"/>
    <w:rsid w:val="0077635C"/>
    <w:rsid w:val="00782845"/>
    <w:rsid w:val="0078371D"/>
    <w:rsid w:val="00786F88"/>
    <w:rsid w:val="007900D3"/>
    <w:rsid w:val="00791505"/>
    <w:rsid w:val="0079338D"/>
    <w:rsid w:val="0079378A"/>
    <w:rsid w:val="007957A4"/>
    <w:rsid w:val="007967EE"/>
    <w:rsid w:val="0079756E"/>
    <w:rsid w:val="007A6F59"/>
    <w:rsid w:val="007A793B"/>
    <w:rsid w:val="007A7A9C"/>
    <w:rsid w:val="007B04CC"/>
    <w:rsid w:val="007B382E"/>
    <w:rsid w:val="007B4494"/>
    <w:rsid w:val="007B4976"/>
    <w:rsid w:val="007B784A"/>
    <w:rsid w:val="007C15BE"/>
    <w:rsid w:val="007C4624"/>
    <w:rsid w:val="007C5422"/>
    <w:rsid w:val="007C5EB2"/>
    <w:rsid w:val="007C7571"/>
    <w:rsid w:val="007D0FA9"/>
    <w:rsid w:val="007D2E47"/>
    <w:rsid w:val="007E0C8B"/>
    <w:rsid w:val="007E21DE"/>
    <w:rsid w:val="007E37A0"/>
    <w:rsid w:val="007E72FF"/>
    <w:rsid w:val="007F27E5"/>
    <w:rsid w:val="007F320F"/>
    <w:rsid w:val="007F40B0"/>
    <w:rsid w:val="007F6738"/>
    <w:rsid w:val="007F7A35"/>
    <w:rsid w:val="0081691C"/>
    <w:rsid w:val="00820159"/>
    <w:rsid w:val="00821BBD"/>
    <w:rsid w:val="00824335"/>
    <w:rsid w:val="008258EA"/>
    <w:rsid w:val="00827348"/>
    <w:rsid w:val="008322B1"/>
    <w:rsid w:val="00834015"/>
    <w:rsid w:val="008340F5"/>
    <w:rsid w:val="00834E70"/>
    <w:rsid w:val="00836146"/>
    <w:rsid w:val="008433E2"/>
    <w:rsid w:val="00847628"/>
    <w:rsid w:val="00851C02"/>
    <w:rsid w:val="00854882"/>
    <w:rsid w:val="008636B7"/>
    <w:rsid w:val="00863EF4"/>
    <w:rsid w:val="008671D3"/>
    <w:rsid w:val="00875508"/>
    <w:rsid w:val="00875C41"/>
    <w:rsid w:val="008804F6"/>
    <w:rsid w:val="00880BA2"/>
    <w:rsid w:val="008853F1"/>
    <w:rsid w:val="00886A69"/>
    <w:rsid w:val="008935ED"/>
    <w:rsid w:val="008976DE"/>
    <w:rsid w:val="008A3EFF"/>
    <w:rsid w:val="008A4DE1"/>
    <w:rsid w:val="008A618C"/>
    <w:rsid w:val="008A6E64"/>
    <w:rsid w:val="008A6EF3"/>
    <w:rsid w:val="008B1013"/>
    <w:rsid w:val="008B3495"/>
    <w:rsid w:val="008B4DBD"/>
    <w:rsid w:val="008C0636"/>
    <w:rsid w:val="008C0A90"/>
    <w:rsid w:val="008C2720"/>
    <w:rsid w:val="008C47E5"/>
    <w:rsid w:val="008C4D2D"/>
    <w:rsid w:val="008D3CD1"/>
    <w:rsid w:val="008E3824"/>
    <w:rsid w:val="008E5DF7"/>
    <w:rsid w:val="008E6ACF"/>
    <w:rsid w:val="008E6AED"/>
    <w:rsid w:val="008E70EE"/>
    <w:rsid w:val="008F3A14"/>
    <w:rsid w:val="008F44F2"/>
    <w:rsid w:val="008F4905"/>
    <w:rsid w:val="009009B4"/>
    <w:rsid w:val="00903C36"/>
    <w:rsid w:val="00904501"/>
    <w:rsid w:val="00906B09"/>
    <w:rsid w:val="00910DEF"/>
    <w:rsid w:val="0091310C"/>
    <w:rsid w:val="00916079"/>
    <w:rsid w:val="00916FAD"/>
    <w:rsid w:val="009171B7"/>
    <w:rsid w:val="00920B31"/>
    <w:rsid w:val="009221F8"/>
    <w:rsid w:val="00926F63"/>
    <w:rsid w:val="009326BD"/>
    <w:rsid w:val="009374F7"/>
    <w:rsid w:val="00944198"/>
    <w:rsid w:val="00944CF6"/>
    <w:rsid w:val="00946534"/>
    <w:rsid w:val="00952363"/>
    <w:rsid w:val="00952760"/>
    <w:rsid w:val="009555A1"/>
    <w:rsid w:val="00955E1B"/>
    <w:rsid w:val="00956911"/>
    <w:rsid w:val="00964E44"/>
    <w:rsid w:val="0096525A"/>
    <w:rsid w:val="0097097B"/>
    <w:rsid w:val="009832D2"/>
    <w:rsid w:val="00983498"/>
    <w:rsid w:val="00985625"/>
    <w:rsid w:val="00993973"/>
    <w:rsid w:val="00994501"/>
    <w:rsid w:val="009A5642"/>
    <w:rsid w:val="009A7EC3"/>
    <w:rsid w:val="009C031F"/>
    <w:rsid w:val="009C440F"/>
    <w:rsid w:val="009C4BEB"/>
    <w:rsid w:val="009C4FA0"/>
    <w:rsid w:val="009D1335"/>
    <w:rsid w:val="009D15B5"/>
    <w:rsid w:val="009D60D6"/>
    <w:rsid w:val="009D654B"/>
    <w:rsid w:val="009D68B8"/>
    <w:rsid w:val="009E0A3B"/>
    <w:rsid w:val="009E405B"/>
    <w:rsid w:val="009E59C0"/>
    <w:rsid w:val="009E651B"/>
    <w:rsid w:val="00A05B9A"/>
    <w:rsid w:val="00A1199B"/>
    <w:rsid w:val="00A1245F"/>
    <w:rsid w:val="00A13B89"/>
    <w:rsid w:val="00A14E2D"/>
    <w:rsid w:val="00A16C64"/>
    <w:rsid w:val="00A1702D"/>
    <w:rsid w:val="00A223EC"/>
    <w:rsid w:val="00A228CE"/>
    <w:rsid w:val="00A234D4"/>
    <w:rsid w:val="00A25ADB"/>
    <w:rsid w:val="00A278B0"/>
    <w:rsid w:val="00A27CEF"/>
    <w:rsid w:val="00A31770"/>
    <w:rsid w:val="00A33504"/>
    <w:rsid w:val="00A34CFF"/>
    <w:rsid w:val="00A35978"/>
    <w:rsid w:val="00A367C1"/>
    <w:rsid w:val="00A36F04"/>
    <w:rsid w:val="00A456C8"/>
    <w:rsid w:val="00A4602D"/>
    <w:rsid w:val="00A466AA"/>
    <w:rsid w:val="00A5150F"/>
    <w:rsid w:val="00A544F5"/>
    <w:rsid w:val="00A55953"/>
    <w:rsid w:val="00A56268"/>
    <w:rsid w:val="00A5626B"/>
    <w:rsid w:val="00A56507"/>
    <w:rsid w:val="00A57576"/>
    <w:rsid w:val="00A5786F"/>
    <w:rsid w:val="00A60438"/>
    <w:rsid w:val="00A6087C"/>
    <w:rsid w:val="00A614D1"/>
    <w:rsid w:val="00A64748"/>
    <w:rsid w:val="00A740D6"/>
    <w:rsid w:val="00A81B1A"/>
    <w:rsid w:val="00A81D95"/>
    <w:rsid w:val="00A87974"/>
    <w:rsid w:val="00A9145F"/>
    <w:rsid w:val="00A91746"/>
    <w:rsid w:val="00A924DF"/>
    <w:rsid w:val="00A955E8"/>
    <w:rsid w:val="00A96B02"/>
    <w:rsid w:val="00AA099D"/>
    <w:rsid w:val="00AA71FD"/>
    <w:rsid w:val="00AB0D89"/>
    <w:rsid w:val="00AB103C"/>
    <w:rsid w:val="00AB2F8D"/>
    <w:rsid w:val="00AB4240"/>
    <w:rsid w:val="00AB6E0B"/>
    <w:rsid w:val="00AC121D"/>
    <w:rsid w:val="00AD221E"/>
    <w:rsid w:val="00AD62BD"/>
    <w:rsid w:val="00AE0594"/>
    <w:rsid w:val="00AE0D75"/>
    <w:rsid w:val="00AE5B15"/>
    <w:rsid w:val="00AF44C1"/>
    <w:rsid w:val="00AF45A9"/>
    <w:rsid w:val="00B062DF"/>
    <w:rsid w:val="00B12653"/>
    <w:rsid w:val="00B23B62"/>
    <w:rsid w:val="00B253E1"/>
    <w:rsid w:val="00B25B5E"/>
    <w:rsid w:val="00B3031F"/>
    <w:rsid w:val="00B31845"/>
    <w:rsid w:val="00B32248"/>
    <w:rsid w:val="00B35E9E"/>
    <w:rsid w:val="00B36C5D"/>
    <w:rsid w:val="00B41082"/>
    <w:rsid w:val="00B41951"/>
    <w:rsid w:val="00B42221"/>
    <w:rsid w:val="00B45E88"/>
    <w:rsid w:val="00B52B4F"/>
    <w:rsid w:val="00B53DC4"/>
    <w:rsid w:val="00B54D49"/>
    <w:rsid w:val="00B55383"/>
    <w:rsid w:val="00B57854"/>
    <w:rsid w:val="00B57A1F"/>
    <w:rsid w:val="00B61759"/>
    <w:rsid w:val="00B65CF1"/>
    <w:rsid w:val="00B7462C"/>
    <w:rsid w:val="00B76F2D"/>
    <w:rsid w:val="00B776EA"/>
    <w:rsid w:val="00B81249"/>
    <w:rsid w:val="00B82C2A"/>
    <w:rsid w:val="00B85F94"/>
    <w:rsid w:val="00B96959"/>
    <w:rsid w:val="00B9709A"/>
    <w:rsid w:val="00BA3A46"/>
    <w:rsid w:val="00BA7A4B"/>
    <w:rsid w:val="00BB1973"/>
    <w:rsid w:val="00BB39D7"/>
    <w:rsid w:val="00BB578C"/>
    <w:rsid w:val="00BC1243"/>
    <w:rsid w:val="00BC30FD"/>
    <w:rsid w:val="00BD0D3F"/>
    <w:rsid w:val="00BD2B01"/>
    <w:rsid w:val="00BD2E33"/>
    <w:rsid w:val="00BD386F"/>
    <w:rsid w:val="00BD4574"/>
    <w:rsid w:val="00BD700C"/>
    <w:rsid w:val="00BE0A52"/>
    <w:rsid w:val="00BE14DC"/>
    <w:rsid w:val="00BE2462"/>
    <w:rsid w:val="00BE280E"/>
    <w:rsid w:val="00BE53C7"/>
    <w:rsid w:val="00BE54AC"/>
    <w:rsid w:val="00BF0196"/>
    <w:rsid w:val="00BF17B8"/>
    <w:rsid w:val="00BF33C4"/>
    <w:rsid w:val="00BF3D38"/>
    <w:rsid w:val="00BF6D3B"/>
    <w:rsid w:val="00C0003E"/>
    <w:rsid w:val="00C05BC0"/>
    <w:rsid w:val="00C06D66"/>
    <w:rsid w:val="00C0721A"/>
    <w:rsid w:val="00C078A5"/>
    <w:rsid w:val="00C10144"/>
    <w:rsid w:val="00C16B0D"/>
    <w:rsid w:val="00C2161C"/>
    <w:rsid w:val="00C221CE"/>
    <w:rsid w:val="00C226DB"/>
    <w:rsid w:val="00C2400E"/>
    <w:rsid w:val="00C261FD"/>
    <w:rsid w:val="00C27CE1"/>
    <w:rsid w:val="00C330AF"/>
    <w:rsid w:val="00C358C3"/>
    <w:rsid w:val="00C35A23"/>
    <w:rsid w:val="00C36540"/>
    <w:rsid w:val="00C365FB"/>
    <w:rsid w:val="00C372A7"/>
    <w:rsid w:val="00C377A0"/>
    <w:rsid w:val="00C44337"/>
    <w:rsid w:val="00C45332"/>
    <w:rsid w:val="00C472FE"/>
    <w:rsid w:val="00C52FDC"/>
    <w:rsid w:val="00C55570"/>
    <w:rsid w:val="00C55989"/>
    <w:rsid w:val="00C55DF7"/>
    <w:rsid w:val="00C57DA8"/>
    <w:rsid w:val="00C6141B"/>
    <w:rsid w:val="00C61ACA"/>
    <w:rsid w:val="00C629C6"/>
    <w:rsid w:val="00C67741"/>
    <w:rsid w:val="00C72460"/>
    <w:rsid w:val="00C75ECF"/>
    <w:rsid w:val="00C803E1"/>
    <w:rsid w:val="00C804D2"/>
    <w:rsid w:val="00C82157"/>
    <w:rsid w:val="00C83965"/>
    <w:rsid w:val="00C86A21"/>
    <w:rsid w:val="00C878D5"/>
    <w:rsid w:val="00C965F7"/>
    <w:rsid w:val="00C9756B"/>
    <w:rsid w:val="00CA0E9A"/>
    <w:rsid w:val="00CA3988"/>
    <w:rsid w:val="00CA3F1B"/>
    <w:rsid w:val="00CA6B6F"/>
    <w:rsid w:val="00CA72F2"/>
    <w:rsid w:val="00CA7F6D"/>
    <w:rsid w:val="00CB2752"/>
    <w:rsid w:val="00CB46EF"/>
    <w:rsid w:val="00CB5EDA"/>
    <w:rsid w:val="00CC4D04"/>
    <w:rsid w:val="00CC4D8D"/>
    <w:rsid w:val="00CC5200"/>
    <w:rsid w:val="00CC523A"/>
    <w:rsid w:val="00CC69F4"/>
    <w:rsid w:val="00CD1C7A"/>
    <w:rsid w:val="00CD2E1D"/>
    <w:rsid w:val="00CD5E7D"/>
    <w:rsid w:val="00CD635D"/>
    <w:rsid w:val="00CE30CD"/>
    <w:rsid w:val="00CE4FD0"/>
    <w:rsid w:val="00CF2496"/>
    <w:rsid w:val="00CF3650"/>
    <w:rsid w:val="00CF427C"/>
    <w:rsid w:val="00D03694"/>
    <w:rsid w:val="00D0498A"/>
    <w:rsid w:val="00D13334"/>
    <w:rsid w:val="00D136BE"/>
    <w:rsid w:val="00D14FE2"/>
    <w:rsid w:val="00D161AE"/>
    <w:rsid w:val="00D16860"/>
    <w:rsid w:val="00D1697D"/>
    <w:rsid w:val="00D176DC"/>
    <w:rsid w:val="00D17B5D"/>
    <w:rsid w:val="00D20C69"/>
    <w:rsid w:val="00D22E6F"/>
    <w:rsid w:val="00D23102"/>
    <w:rsid w:val="00D2335F"/>
    <w:rsid w:val="00D23900"/>
    <w:rsid w:val="00D23CBF"/>
    <w:rsid w:val="00D26458"/>
    <w:rsid w:val="00D26D16"/>
    <w:rsid w:val="00D30500"/>
    <w:rsid w:val="00D34790"/>
    <w:rsid w:val="00D36128"/>
    <w:rsid w:val="00D37A82"/>
    <w:rsid w:val="00D40FF4"/>
    <w:rsid w:val="00D51DD9"/>
    <w:rsid w:val="00D57D3E"/>
    <w:rsid w:val="00D6099C"/>
    <w:rsid w:val="00D702DF"/>
    <w:rsid w:val="00D7058B"/>
    <w:rsid w:val="00D74C35"/>
    <w:rsid w:val="00D76214"/>
    <w:rsid w:val="00D76C2B"/>
    <w:rsid w:val="00D831A3"/>
    <w:rsid w:val="00D83522"/>
    <w:rsid w:val="00D861B8"/>
    <w:rsid w:val="00D869A1"/>
    <w:rsid w:val="00D8742B"/>
    <w:rsid w:val="00D94281"/>
    <w:rsid w:val="00D95C01"/>
    <w:rsid w:val="00D95E77"/>
    <w:rsid w:val="00D9628E"/>
    <w:rsid w:val="00DA3DEC"/>
    <w:rsid w:val="00DA422A"/>
    <w:rsid w:val="00DA7764"/>
    <w:rsid w:val="00DA7F00"/>
    <w:rsid w:val="00DB1BD2"/>
    <w:rsid w:val="00DB3F17"/>
    <w:rsid w:val="00DB4402"/>
    <w:rsid w:val="00DB50F9"/>
    <w:rsid w:val="00DB51B7"/>
    <w:rsid w:val="00DB5D4E"/>
    <w:rsid w:val="00DB6BFD"/>
    <w:rsid w:val="00DC15C0"/>
    <w:rsid w:val="00DC7C54"/>
    <w:rsid w:val="00DD0BA5"/>
    <w:rsid w:val="00DD1446"/>
    <w:rsid w:val="00DD341A"/>
    <w:rsid w:val="00DD4819"/>
    <w:rsid w:val="00DD4F04"/>
    <w:rsid w:val="00DD63D7"/>
    <w:rsid w:val="00DE215C"/>
    <w:rsid w:val="00DE2E6D"/>
    <w:rsid w:val="00DE5734"/>
    <w:rsid w:val="00DE64D7"/>
    <w:rsid w:val="00DF4B7F"/>
    <w:rsid w:val="00DF5378"/>
    <w:rsid w:val="00DF594E"/>
    <w:rsid w:val="00DF5F31"/>
    <w:rsid w:val="00DF6986"/>
    <w:rsid w:val="00DF6F9A"/>
    <w:rsid w:val="00E01460"/>
    <w:rsid w:val="00E04C4C"/>
    <w:rsid w:val="00E070A2"/>
    <w:rsid w:val="00E073D4"/>
    <w:rsid w:val="00E161BB"/>
    <w:rsid w:val="00E215FB"/>
    <w:rsid w:val="00E422AF"/>
    <w:rsid w:val="00E42427"/>
    <w:rsid w:val="00E43839"/>
    <w:rsid w:val="00E47DAB"/>
    <w:rsid w:val="00E50B5B"/>
    <w:rsid w:val="00E52831"/>
    <w:rsid w:val="00E52B50"/>
    <w:rsid w:val="00E55ACC"/>
    <w:rsid w:val="00E5678D"/>
    <w:rsid w:val="00E578BC"/>
    <w:rsid w:val="00E57F6B"/>
    <w:rsid w:val="00E63BE4"/>
    <w:rsid w:val="00E64051"/>
    <w:rsid w:val="00E6532D"/>
    <w:rsid w:val="00E6628E"/>
    <w:rsid w:val="00E664DC"/>
    <w:rsid w:val="00E744BA"/>
    <w:rsid w:val="00E74B96"/>
    <w:rsid w:val="00E75E4D"/>
    <w:rsid w:val="00E76921"/>
    <w:rsid w:val="00E82FCA"/>
    <w:rsid w:val="00E84CB9"/>
    <w:rsid w:val="00E859E6"/>
    <w:rsid w:val="00E86926"/>
    <w:rsid w:val="00E87603"/>
    <w:rsid w:val="00E91411"/>
    <w:rsid w:val="00E929BA"/>
    <w:rsid w:val="00E93CF8"/>
    <w:rsid w:val="00E93F36"/>
    <w:rsid w:val="00E946D1"/>
    <w:rsid w:val="00EA1708"/>
    <w:rsid w:val="00EA33C3"/>
    <w:rsid w:val="00EA4148"/>
    <w:rsid w:val="00EA4477"/>
    <w:rsid w:val="00EB5EB8"/>
    <w:rsid w:val="00EB61EB"/>
    <w:rsid w:val="00EC3104"/>
    <w:rsid w:val="00EC32EF"/>
    <w:rsid w:val="00EC6581"/>
    <w:rsid w:val="00EC7391"/>
    <w:rsid w:val="00EC7D33"/>
    <w:rsid w:val="00ED0E2C"/>
    <w:rsid w:val="00ED1D81"/>
    <w:rsid w:val="00ED465B"/>
    <w:rsid w:val="00ED475B"/>
    <w:rsid w:val="00EE19AD"/>
    <w:rsid w:val="00EF0B05"/>
    <w:rsid w:val="00EF3A46"/>
    <w:rsid w:val="00EF630D"/>
    <w:rsid w:val="00EF788C"/>
    <w:rsid w:val="00EF7C28"/>
    <w:rsid w:val="00F0021C"/>
    <w:rsid w:val="00F0529B"/>
    <w:rsid w:val="00F05C16"/>
    <w:rsid w:val="00F06D88"/>
    <w:rsid w:val="00F072F8"/>
    <w:rsid w:val="00F15014"/>
    <w:rsid w:val="00F22F17"/>
    <w:rsid w:val="00F23803"/>
    <w:rsid w:val="00F24190"/>
    <w:rsid w:val="00F24B99"/>
    <w:rsid w:val="00F25B61"/>
    <w:rsid w:val="00F27863"/>
    <w:rsid w:val="00F307BB"/>
    <w:rsid w:val="00F328F2"/>
    <w:rsid w:val="00F374DA"/>
    <w:rsid w:val="00F37C5E"/>
    <w:rsid w:val="00F459F6"/>
    <w:rsid w:val="00F46DDB"/>
    <w:rsid w:val="00F538AC"/>
    <w:rsid w:val="00F54C56"/>
    <w:rsid w:val="00F62F96"/>
    <w:rsid w:val="00F66589"/>
    <w:rsid w:val="00F67877"/>
    <w:rsid w:val="00F753AD"/>
    <w:rsid w:val="00F87EA7"/>
    <w:rsid w:val="00F94207"/>
    <w:rsid w:val="00F97450"/>
    <w:rsid w:val="00FA25B0"/>
    <w:rsid w:val="00FA6ED2"/>
    <w:rsid w:val="00FA78B6"/>
    <w:rsid w:val="00FA7F3E"/>
    <w:rsid w:val="00FB0F58"/>
    <w:rsid w:val="00FB5552"/>
    <w:rsid w:val="00FB6727"/>
    <w:rsid w:val="00FB6C92"/>
    <w:rsid w:val="00FC0B2A"/>
    <w:rsid w:val="00FC49A6"/>
    <w:rsid w:val="00FC60C8"/>
    <w:rsid w:val="00FD2860"/>
    <w:rsid w:val="00FD2B70"/>
    <w:rsid w:val="00FD6DB0"/>
    <w:rsid w:val="00FD7338"/>
    <w:rsid w:val="00FE14B4"/>
    <w:rsid w:val="00FE4088"/>
    <w:rsid w:val="00FE4261"/>
    <w:rsid w:val="00FE698F"/>
    <w:rsid w:val="00FE741A"/>
    <w:rsid w:val="00FF04C5"/>
    <w:rsid w:val="00FF1052"/>
    <w:rsid w:val="00FF226B"/>
    <w:rsid w:val="00FF6941"/>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8FF57"/>
  <w15:chartTrackingRefBased/>
  <w15:docId w15:val="{7D2B1F60-B82B-4FDB-A120-E9ADB735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A7"/>
    <w:rPr>
      <w:rFonts w:ascii="Arial" w:hAnsi="Arial"/>
      <w:sz w:val="20"/>
    </w:rPr>
  </w:style>
  <w:style w:type="paragraph" w:styleId="Heading1">
    <w:name w:val="heading 1"/>
    <w:basedOn w:val="Normal"/>
    <w:next w:val="Normal"/>
    <w:link w:val="Heading1Char"/>
    <w:uiPriority w:val="9"/>
    <w:qFormat/>
    <w:rsid w:val="00742E76"/>
    <w:pPr>
      <w:keepNext/>
      <w:keepLines/>
      <w:numPr>
        <w:numId w:val="1"/>
      </w:numPr>
      <w:spacing w:before="240" w:after="0"/>
      <w:ind w:left="360"/>
      <w:outlineLvl w:val="0"/>
    </w:pPr>
    <w:rPr>
      <w:rFonts w:ascii="Tenorite" w:eastAsiaTheme="majorEastAsia" w:hAnsi="Tenorite" w:cstheme="majorBidi"/>
      <w:b/>
      <w:color w:val="006072"/>
      <w:sz w:val="30"/>
      <w:szCs w:val="32"/>
    </w:rPr>
  </w:style>
  <w:style w:type="paragraph" w:styleId="Heading2">
    <w:name w:val="heading 2"/>
    <w:basedOn w:val="Normal"/>
    <w:next w:val="Normal"/>
    <w:link w:val="Heading2Char"/>
    <w:uiPriority w:val="9"/>
    <w:unhideWhenUsed/>
    <w:qFormat/>
    <w:rsid w:val="00761A47"/>
    <w:pPr>
      <w:keepNext/>
      <w:keepLines/>
      <w:numPr>
        <w:numId w:val="2"/>
      </w:numPr>
      <w:spacing w:before="40" w:after="0"/>
      <w:outlineLvl w:val="1"/>
    </w:pPr>
    <w:rPr>
      <w:rFonts w:ascii="Tenorite" w:eastAsiaTheme="majorEastAsia" w:hAnsi="Tenorite" w:cstheme="majorBidi"/>
      <w:b/>
      <w:caps/>
      <w:color w:val="F37A5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C64"/>
    <w:pPr>
      <w:ind w:left="720"/>
      <w:contextualSpacing/>
    </w:pPr>
  </w:style>
  <w:style w:type="character" w:customStyle="1" w:styleId="Heading1Char">
    <w:name w:val="Heading 1 Char"/>
    <w:basedOn w:val="DefaultParagraphFont"/>
    <w:link w:val="Heading1"/>
    <w:uiPriority w:val="9"/>
    <w:rsid w:val="00742E76"/>
    <w:rPr>
      <w:rFonts w:ascii="Tenorite" w:eastAsiaTheme="majorEastAsia" w:hAnsi="Tenorite" w:cstheme="majorBidi"/>
      <w:b/>
      <w:color w:val="006072"/>
      <w:sz w:val="30"/>
      <w:szCs w:val="32"/>
    </w:rPr>
  </w:style>
  <w:style w:type="character" w:customStyle="1" w:styleId="Heading2Char">
    <w:name w:val="Heading 2 Char"/>
    <w:basedOn w:val="DefaultParagraphFont"/>
    <w:link w:val="Heading2"/>
    <w:uiPriority w:val="9"/>
    <w:rsid w:val="00761A47"/>
    <w:rPr>
      <w:rFonts w:ascii="Tenorite" w:eastAsiaTheme="majorEastAsia" w:hAnsi="Tenorite" w:cstheme="majorBidi"/>
      <w:b/>
      <w:caps/>
      <w:color w:val="F37A52"/>
      <w:sz w:val="24"/>
      <w:szCs w:val="26"/>
    </w:rPr>
  </w:style>
  <w:style w:type="paragraph" w:styleId="Header">
    <w:name w:val="header"/>
    <w:basedOn w:val="Normal"/>
    <w:link w:val="HeaderChar"/>
    <w:uiPriority w:val="99"/>
    <w:unhideWhenUsed/>
    <w:rsid w:val="00BD3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86F"/>
    <w:rPr>
      <w:rFonts w:ascii="Roboto" w:hAnsi="Roboto"/>
      <w:sz w:val="20"/>
    </w:rPr>
  </w:style>
  <w:style w:type="paragraph" w:styleId="Footer">
    <w:name w:val="footer"/>
    <w:basedOn w:val="Normal"/>
    <w:link w:val="FooterChar"/>
    <w:uiPriority w:val="99"/>
    <w:unhideWhenUsed/>
    <w:rsid w:val="00BD3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86F"/>
    <w:rPr>
      <w:rFonts w:ascii="Roboto" w:hAnsi="Roboto"/>
      <w:sz w:val="20"/>
    </w:rPr>
  </w:style>
  <w:style w:type="character" w:styleId="CommentReference">
    <w:name w:val="annotation reference"/>
    <w:basedOn w:val="DefaultParagraphFont"/>
    <w:uiPriority w:val="99"/>
    <w:semiHidden/>
    <w:unhideWhenUsed/>
    <w:rsid w:val="00685B40"/>
    <w:rPr>
      <w:sz w:val="16"/>
      <w:szCs w:val="16"/>
    </w:rPr>
  </w:style>
  <w:style w:type="paragraph" w:styleId="CommentText">
    <w:name w:val="annotation text"/>
    <w:basedOn w:val="Normal"/>
    <w:link w:val="CommentTextChar"/>
    <w:uiPriority w:val="99"/>
    <w:unhideWhenUsed/>
    <w:rsid w:val="00685B40"/>
    <w:pPr>
      <w:spacing w:line="240" w:lineRule="auto"/>
    </w:pPr>
    <w:rPr>
      <w:szCs w:val="20"/>
    </w:rPr>
  </w:style>
  <w:style w:type="character" w:customStyle="1" w:styleId="CommentTextChar">
    <w:name w:val="Comment Text Char"/>
    <w:basedOn w:val="DefaultParagraphFont"/>
    <w:link w:val="CommentText"/>
    <w:uiPriority w:val="99"/>
    <w:rsid w:val="00685B40"/>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685B40"/>
    <w:rPr>
      <w:b/>
      <w:bCs/>
    </w:rPr>
  </w:style>
  <w:style w:type="character" w:customStyle="1" w:styleId="CommentSubjectChar">
    <w:name w:val="Comment Subject Char"/>
    <w:basedOn w:val="CommentTextChar"/>
    <w:link w:val="CommentSubject"/>
    <w:uiPriority w:val="99"/>
    <w:semiHidden/>
    <w:rsid w:val="00685B40"/>
    <w:rPr>
      <w:rFonts w:ascii="Roboto" w:hAnsi="Roboto"/>
      <w:b/>
      <w:bCs/>
      <w:sz w:val="20"/>
      <w:szCs w:val="20"/>
    </w:rPr>
  </w:style>
  <w:style w:type="table" w:styleId="TableGrid">
    <w:name w:val="Table Grid"/>
    <w:basedOn w:val="TableNormal"/>
    <w:uiPriority w:val="39"/>
    <w:rsid w:val="00114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95C01"/>
    <w:rPr>
      <w:color w:val="2B579A"/>
      <w:shd w:val="clear" w:color="auto" w:fill="E1DFDD"/>
    </w:rPr>
  </w:style>
  <w:style w:type="paragraph" w:styleId="TOCHeading">
    <w:name w:val="TOC Heading"/>
    <w:basedOn w:val="Heading1"/>
    <w:next w:val="Normal"/>
    <w:uiPriority w:val="39"/>
    <w:unhideWhenUsed/>
    <w:qFormat/>
    <w:rsid w:val="00E070A2"/>
    <w:pPr>
      <w:numPr>
        <w:numId w:val="0"/>
      </w:numPr>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3B5C3F"/>
    <w:pPr>
      <w:tabs>
        <w:tab w:val="left" w:pos="440"/>
        <w:tab w:val="right" w:leader="dot" w:pos="9350"/>
      </w:tabs>
      <w:spacing w:after="100" w:line="240" w:lineRule="auto"/>
    </w:pPr>
  </w:style>
  <w:style w:type="paragraph" w:styleId="TOC2">
    <w:name w:val="toc 2"/>
    <w:basedOn w:val="Normal"/>
    <w:next w:val="Normal"/>
    <w:autoRedefine/>
    <w:uiPriority w:val="39"/>
    <w:unhideWhenUsed/>
    <w:rsid w:val="003B5C3F"/>
    <w:pPr>
      <w:tabs>
        <w:tab w:val="left" w:pos="660"/>
        <w:tab w:val="right" w:leader="dot" w:pos="9350"/>
      </w:tabs>
      <w:spacing w:after="100" w:line="240" w:lineRule="auto"/>
      <w:ind w:left="200"/>
    </w:pPr>
  </w:style>
  <w:style w:type="character" w:styleId="Hyperlink">
    <w:name w:val="Hyperlink"/>
    <w:basedOn w:val="DefaultParagraphFont"/>
    <w:uiPriority w:val="99"/>
    <w:unhideWhenUsed/>
    <w:rsid w:val="00E070A2"/>
    <w:rPr>
      <w:color w:val="0563C1" w:themeColor="hyperlink"/>
      <w:u w:val="single"/>
    </w:rPr>
  </w:style>
  <w:style w:type="paragraph" w:styleId="NormalWeb">
    <w:name w:val="Normal (Web)"/>
    <w:basedOn w:val="Normal"/>
    <w:uiPriority w:val="99"/>
    <w:unhideWhenUsed/>
    <w:rsid w:val="00AB0D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57576"/>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8258EA"/>
    <w:rPr>
      <w:color w:val="605E5C"/>
      <w:shd w:val="clear" w:color="auto" w:fill="E1DFDD"/>
    </w:rPr>
  </w:style>
  <w:style w:type="paragraph" w:styleId="Caption">
    <w:name w:val="caption"/>
    <w:basedOn w:val="Normal"/>
    <w:next w:val="Normal"/>
    <w:uiPriority w:val="35"/>
    <w:unhideWhenUsed/>
    <w:qFormat/>
    <w:rsid w:val="00C67741"/>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FF226B"/>
    <w:pPr>
      <w:spacing w:after="0" w:line="240" w:lineRule="auto"/>
    </w:pPr>
    <w:rPr>
      <w:szCs w:val="20"/>
    </w:rPr>
  </w:style>
  <w:style w:type="character" w:customStyle="1" w:styleId="FootnoteTextChar">
    <w:name w:val="Footnote Text Char"/>
    <w:basedOn w:val="DefaultParagraphFont"/>
    <w:link w:val="FootnoteText"/>
    <w:uiPriority w:val="99"/>
    <w:semiHidden/>
    <w:rsid w:val="00FF226B"/>
    <w:rPr>
      <w:rFonts w:ascii="Arial" w:hAnsi="Arial"/>
      <w:sz w:val="20"/>
      <w:szCs w:val="20"/>
    </w:rPr>
  </w:style>
  <w:style w:type="character" w:styleId="FootnoteReference">
    <w:name w:val="footnote reference"/>
    <w:basedOn w:val="DefaultParagraphFont"/>
    <w:uiPriority w:val="99"/>
    <w:semiHidden/>
    <w:unhideWhenUsed/>
    <w:rsid w:val="00FF2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978266530">
      <w:bodyDiv w:val="1"/>
      <w:marLeft w:val="0"/>
      <w:marRight w:val="0"/>
      <w:marTop w:val="0"/>
      <w:marBottom w:val="0"/>
      <w:divBdr>
        <w:top w:val="none" w:sz="0" w:space="0" w:color="auto"/>
        <w:left w:val="none" w:sz="0" w:space="0" w:color="auto"/>
        <w:bottom w:val="none" w:sz="0" w:space="0" w:color="auto"/>
        <w:right w:val="none" w:sz="0" w:space="0" w:color="auto"/>
      </w:divBdr>
    </w:div>
    <w:div w:id="1359237710">
      <w:bodyDiv w:val="1"/>
      <w:marLeft w:val="0"/>
      <w:marRight w:val="0"/>
      <w:marTop w:val="0"/>
      <w:marBottom w:val="0"/>
      <w:divBdr>
        <w:top w:val="none" w:sz="0" w:space="0" w:color="auto"/>
        <w:left w:val="none" w:sz="0" w:space="0" w:color="auto"/>
        <w:bottom w:val="none" w:sz="0" w:space="0" w:color="auto"/>
        <w:right w:val="none" w:sz="0" w:space="0" w:color="auto"/>
      </w:divBdr>
    </w:div>
    <w:div w:id="20683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93a09-6d7d-4e0a-8a1b-1268ee54d8c3">
      <Terms xmlns="http://schemas.microsoft.com/office/infopath/2007/PartnerControls"/>
    </lcf76f155ced4ddcb4097134ff3c332f>
    <TaxCatchAll xmlns="eb733460-6346-44d3-87ed-16164ef053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14C608A97B64A80D13A50447F0FC2" ma:contentTypeVersion="11" ma:contentTypeDescription="Create a new document." ma:contentTypeScope="" ma:versionID="91c85a8b1902777338ae13427ab3d091">
  <xsd:schema xmlns:xsd="http://www.w3.org/2001/XMLSchema" xmlns:xs="http://www.w3.org/2001/XMLSchema" xmlns:p="http://schemas.microsoft.com/office/2006/metadata/properties" xmlns:ns2="da993a09-6d7d-4e0a-8a1b-1268ee54d8c3" xmlns:ns3="eb733460-6346-44d3-87ed-16164ef05318" targetNamespace="http://schemas.microsoft.com/office/2006/metadata/properties" ma:root="true" ma:fieldsID="e89e1eff1edc94d8f4812a4bbd3b2de3" ns2:_="" ns3:_="">
    <xsd:import namespace="da993a09-6d7d-4e0a-8a1b-1268ee54d8c3"/>
    <xsd:import namespace="eb733460-6346-44d3-87ed-16164ef0531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93a09-6d7d-4e0a-8a1b-1268ee54d8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a7481-f8d3-4b01-8cf5-015d7fb5c65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33460-6346-44d3-87ed-16164ef053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5e1494e-f8f6-4fdb-a6a2-f43c7c0a48d0}" ma:internalName="TaxCatchAll" ma:showField="CatchAllData" ma:web="eb733460-6346-44d3-87ed-16164ef05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2C0A-2EE3-412F-9872-E18CAE171010}">
  <ds:schemaRefs>
    <ds:schemaRef ds:uri="http://schemas.microsoft.com/sharepoint/v3/contenttype/forms"/>
  </ds:schemaRefs>
</ds:datastoreItem>
</file>

<file path=customXml/itemProps2.xml><?xml version="1.0" encoding="utf-8"?>
<ds:datastoreItem xmlns:ds="http://schemas.openxmlformats.org/officeDocument/2006/customXml" ds:itemID="{5088958A-7B16-4CFD-AF84-745FFF0E9952}">
  <ds:schemaRefs>
    <ds:schemaRef ds:uri="http://schemas.microsoft.com/office/2006/metadata/properties"/>
    <ds:schemaRef ds:uri="http://schemas.microsoft.com/office/infopath/2007/PartnerControls"/>
    <ds:schemaRef ds:uri="da993a09-6d7d-4e0a-8a1b-1268ee54d8c3"/>
    <ds:schemaRef ds:uri="eb733460-6346-44d3-87ed-16164ef05318"/>
  </ds:schemaRefs>
</ds:datastoreItem>
</file>

<file path=customXml/itemProps3.xml><?xml version="1.0" encoding="utf-8"?>
<ds:datastoreItem xmlns:ds="http://schemas.openxmlformats.org/officeDocument/2006/customXml" ds:itemID="{1793B9C8-C471-44E4-87C2-6B3594F77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93a09-6d7d-4e0a-8a1b-1268ee54d8c3"/>
    <ds:schemaRef ds:uri="eb733460-6346-44d3-87ed-16164ef0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EA8B42-84EE-400B-8A1E-C2E25595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3638</Words>
  <Characters>19796</Characters>
  <Application>Microsoft Office Word</Application>
  <DocSecurity>0</DocSecurity>
  <Lines>507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Asbell</dc:creator>
  <cp:keywords/>
  <dc:description/>
  <cp:lastModifiedBy>Alexis Kiser</cp:lastModifiedBy>
  <cp:revision>17</cp:revision>
  <cp:lastPrinted>2024-03-12T18:25:00Z</cp:lastPrinted>
  <dcterms:created xsi:type="dcterms:W3CDTF">2023-11-01T15:20:00Z</dcterms:created>
  <dcterms:modified xsi:type="dcterms:W3CDTF">2024-03-12T18:25:00Z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0x0101005E714C608A97B64A80D13A50447F0FC2</vt:lpwstr>
  </property>
  <property fmtid="{D5CDD505-2E9C-101B-9397-08002B2CF9AE}" pid="3" name="MediaServiceImageTags">
    <vt:lpwstr/>
  </property>
</Properties>
</file>